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A05" w:rsidRDefault="00E43A05" w:rsidP="00E43A05">
      <w:pPr>
        <w:spacing w:after="120" w:line="360" w:lineRule="auto"/>
        <w:jc w:val="center"/>
        <w:rPr>
          <w:rFonts w:ascii="Arial" w:hAnsi="Arial" w:cs="Arial"/>
          <w:b/>
          <w:sz w:val="24"/>
          <w:szCs w:val="24"/>
          <w:u w:val="single"/>
        </w:rPr>
      </w:pPr>
      <w:r>
        <w:rPr>
          <w:rFonts w:ascii="Arial" w:hAnsi="Arial" w:cs="Arial"/>
          <w:b/>
          <w:sz w:val="24"/>
          <w:szCs w:val="24"/>
          <w:u w:val="single"/>
        </w:rPr>
        <w:t xml:space="preserve">PARECER JURÍDICO </w:t>
      </w:r>
      <w:r>
        <w:rPr>
          <w:rFonts w:ascii="Arial" w:hAnsi="Arial" w:cs="Arial"/>
          <w:b/>
          <w:sz w:val="24"/>
          <w:szCs w:val="24"/>
          <w:u w:val="single"/>
        </w:rPr>
        <w:t>–</w:t>
      </w:r>
      <w:r>
        <w:rPr>
          <w:rFonts w:ascii="Arial" w:hAnsi="Arial" w:cs="Arial"/>
          <w:b/>
          <w:sz w:val="24"/>
          <w:szCs w:val="24"/>
          <w:u w:val="single"/>
        </w:rPr>
        <w:t xml:space="preserve"> LEGISLATIVO</w:t>
      </w:r>
      <w:r>
        <w:rPr>
          <w:rFonts w:ascii="Arial" w:hAnsi="Arial" w:cs="Arial"/>
          <w:b/>
          <w:sz w:val="24"/>
          <w:szCs w:val="24"/>
          <w:u w:val="single"/>
        </w:rPr>
        <w:t xml:space="preserve"> -</w:t>
      </w:r>
      <w:r>
        <w:rPr>
          <w:rFonts w:ascii="Arial" w:hAnsi="Arial" w:cs="Arial"/>
          <w:b/>
          <w:sz w:val="24"/>
          <w:szCs w:val="24"/>
          <w:u w:val="single"/>
        </w:rPr>
        <w:t xml:space="preserve"> PROJETO DE LEI Nº </w:t>
      </w:r>
      <w:r>
        <w:rPr>
          <w:rFonts w:ascii="Arial" w:hAnsi="Arial" w:cs="Arial"/>
          <w:b/>
          <w:sz w:val="24"/>
          <w:szCs w:val="24"/>
          <w:u w:val="single"/>
        </w:rPr>
        <w:t>035.2025</w:t>
      </w:r>
    </w:p>
    <w:p w:rsidR="00E43A05" w:rsidRDefault="00E43A05" w:rsidP="00E43A05">
      <w:pPr>
        <w:spacing w:after="0" w:line="360" w:lineRule="auto"/>
        <w:ind w:left="567" w:right="709"/>
        <w:jc w:val="center"/>
        <w:rPr>
          <w:rFonts w:ascii="Arial" w:hAnsi="Arial"/>
          <w:sz w:val="24"/>
          <w:szCs w:val="24"/>
        </w:rPr>
      </w:pPr>
    </w:p>
    <w:tbl>
      <w:tblPr>
        <w:tblW w:w="4395" w:type="dxa"/>
        <w:tblInd w:w="4644" w:type="dxa"/>
        <w:tblLayout w:type="fixed"/>
        <w:tblLook w:val="04A0" w:firstRow="1" w:lastRow="0" w:firstColumn="1" w:lastColumn="0" w:noHBand="0" w:noVBand="1"/>
      </w:tblPr>
      <w:tblGrid>
        <w:gridCol w:w="4395"/>
      </w:tblGrid>
      <w:tr w:rsidR="00E43A05" w:rsidTr="00E43A05">
        <w:trPr>
          <w:trHeight w:val="606"/>
        </w:trPr>
        <w:tc>
          <w:tcPr>
            <w:tcW w:w="4398" w:type="dxa"/>
            <w:tcBorders>
              <w:top w:val="single" w:sz="4" w:space="0" w:color="000000"/>
              <w:left w:val="single" w:sz="4" w:space="0" w:color="000000"/>
              <w:bottom w:val="single" w:sz="4" w:space="0" w:color="000000"/>
              <w:right w:val="single" w:sz="4" w:space="0" w:color="000000"/>
            </w:tcBorders>
            <w:hideMark/>
          </w:tcPr>
          <w:p w:rsidR="00E43A05" w:rsidRDefault="00E43A05" w:rsidP="00E43A05">
            <w:pPr>
              <w:widowControl w:val="0"/>
              <w:spacing w:after="0" w:line="360" w:lineRule="auto"/>
              <w:jc w:val="both"/>
              <w:rPr>
                <w:rFonts w:ascii="Arial" w:hAnsi="Arial" w:cs="Arial"/>
                <w:b/>
              </w:rPr>
            </w:pPr>
            <w:r>
              <w:rPr>
                <w:rFonts w:ascii="Arial" w:eastAsia="Courier New" w:hAnsi="Arial" w:cs="Arial"/>
                <w:b/>
                <w:caps/>
              </w:rPr>
              <w:t xml:space="preserve">ementa. analise jurídica. projeto de lei </w:t>
            </w:r>
            <w:r>
              <w:rPr>
                <w:rFonts w:ascii="Arial" w:eastAsia="Courier New" w:hAnsi="Arial" w:cs="Arial"/>
                <w:b/>
                <w:caps/>
              </w:rPr>
              <w:t>35/2025</w:t>
            </w:r>
            <w:r>
              <w:rPr>
                <w:rFonts w:ascii="Arial" w:eastAsia="Courier New" w:hAnsi="Arial" w:cs="Arial"/>
                <w:b/>
                <w:caps/>
              </w:rPr>
              <w:t xml:space="preserve">. estima a receita e fixa a despesa para o exercício financeiro de </w:t>
            </w:r>
            <w:r>
              <w:rPr>
                <w:rFonts w:ascii="Arial" w:eastAsia="Courier New" w:hAnsi="Arial" w:cs="Arial"/>
                <w:b/>
                <w:caps/>
              </w:rPr>
              <w:t>2026</w:t>
            </w:r>
            <w:r>
              <w:rPr>
                <w:rFonts w:ascii="Arial" w:eastAsia="Courier New" w:hAnsi="Arial" w:cs="Arial"/>
                <w:b/>
                <w:caps/>
              </w:rPr>
              <w:t>. constitucionalidade formal e material.</w:t>
            </w:r>
          </w:p>
        </w:tc>
      </w:tr>
    </w:tbl>
    <w:p w:rsidR="00E43A05" w:rsidRDefault="00E43A05" w:rsidP="00E43A05">
      <w:pPr>
        <w:spacing w:after="0" w:line="360" w:lineRule="auto"/>
      </w:pPr>
    </w:p>
    <w:p w:rsidR="00E43A05" w:rsidRDefault="00E43A05" w:rsidP="00E43A05">
      <w:pPr>
        <w:numPr>
          <w:ilvl w:val="0"/>
          <w:numId w:val="19"/>
        </w:numPr>
        <w:spacing w:after="0" w:line="360" w:lineRule="auto"/>
        <w:ind w:left="0" w:right="283" w:firstLine="0"/>
      </w:pPr>
      <w:r>
        <w:rPr>
          <w:rFonts w:ascii="Arial" w:hAnsi="Arial" w:cs="Arial"/>
          <w:b/>
          <w:sz w:val="24"/>
          <w:szCs w:val="24"/>
        </w:rPr>
        <w:t xml:space="preserve">RELATÓRIO </w:t>
      </w:r>
    </w:p>
    <w:p w:rsidR="00E43A05" w:rsidRDefault="00E43A05" w:rsidP="00E43A05">
      <w:pPr>
        <w:spacing w:after="0" w:line="360" w:lineRule="auto"/>
        <w:ind w:right="283"/>
        <w:rPr>
          <w:rFonts w:ascii="Arial" w:hAnsi="Arial" w:cs="Arial"/>
          <w:b/>
          <w:sz w:val="24"/>
          <w:szCs w:val="24"/>
        </w:rPr>
      </w:pPr>
    </w:p>
    <w:p w:rsidR="00E43A05" w:rsidRDefault="00E43A05" w:rsidP="00E43A05">
      <w:pPr>
        <w:spacing w:after="0" w:line="360" w:lineRule="auto"/>
        <w:ind w:right="283"/>
        <w:jc w:val="both"/>
      </w:pPr>
      <w:r>
        <w:rPr>
          <w:rFonts w:ascii="Arial" w:hAnsi="Arial" w:cs="Arial"/>
          <w:sz w:val="24"/>
          <w:szCs w:val="24"/>
        </w:rPr>
        <w:tab/>
        <w:t xml:space="preserve">Foi encaminhado a esta E. Casa de Leis em </w:t>
      </w:r>
      <w:r>
        <w:rPr>
          <w:rFonts w:ascii="Arial" w:hAnsi="Arial" w:cs="Arial"/>
          <w:sz w:val="24"/>
          <w:szCs w:val="24"/>
        </w:rPr>
        <w:t>29</w:t>
      </w:r>
      <w:r>
        <w:rPr>
          <w:rFonts w:ascii="Arial" w:hAnsi="Arial" w:cs="Arial"/>
          <w:sz w:val="24"/>
          <w:szCs w:val="24"/>
        </w:rPr>
        <w:t>/08/</w:t>
      </w:r>
      <w:r>
        <w:rPr>
          <w:rFonts w:ascii="Arial" w:hAnsi="Arial" w:cs="Arial"/>
          <w:sz w:val="24"/>
          <w:szCs w:val="24"/>
        </w:rPr>
        <w:t>2025</w:t>
      </w:r>
      <w:r>
        <w:rPr>
          <w:rFonts w:ascii="Arial" w:hAnsi="Arial" w:cs="Arial"/>
          <w:sz w:val="24"/>
          <w:szCs w:val="24"/>
        </w:rPr>
        <w:t xml:space="preserve"> através da Mensagem </w:t>
      </w:r>
      <w:r>
        <w:rPr>
          <w:rFonts w:ascii="Arial" w:hAnsi="Arial" w:cs="Arial"/>
          <w:sz w:val="24"/>
          <w:szCs w:val="24"/>
        </w:rPr>
        <w:t>030/2025</w:t>
      </w:r>
      <w:r>
        <w:rPr>
          <w:rFonts w:ascii="Arial" w:hAnsi="Arial" w:cs="Arial"/>
          <w:sz w:val="24"/>
          <w:szCs w:val="24"/>
        </w:rPr>
        <w:t xml:space="preserve">, o Projeto de Lei nº </w:t>
      </w:r>
      <w:r>
        <w:rPr>
          <w:rFonts w:ascii="Arial" w:hAnsi="Arial" w:cs="Arial"/>
          <w:sz w:val="24"/>
          <w:szCs w:val="24"/>
        </w:rPr>
        <w:t>35/2025</w:t>
      </w:r>
      <w:r>
        <w:rPr>
          <w:rFonts w:ascii="Arial" w:hAnsi="Arial" w:cs="Arial"/>
          <w:sz w:val="24"/>
          <w:szCs w:val="24"/>
        </w:rPr>
        <w:t>, de autoria do Chefe do Poder Executivo que tem por escopo estimar a receita e fixar a despesa para o Exercício Financeiro de 202</w:t>
      </w:r>
      <w:r>
        <w:rPr>
          <w:rFonts w:ascii="Arial" w:hAnsi="Arial" w:cs="Arial"/>
          <w:sz w:val="24"/>
          <w:szCs w:val="24"/>
        </w:rPr>
        <w:t>6</w:t>
      </w:r>
      <w:r>
        <w:rPr>
          <w:rFonts w:ascii="Arial" w:hAnsi="Arial" w:cs="Arial"/>
          <w:sz w:val="24"/>
          <w:szCs w:val="24"/>
        </w:rPr>
        <w:t xml:space="preserve"> do Município de Duas Barras. </w:t>
      </w:r>
    </w:p>
    <w:p w:rsidR="00E43A05" w:rsidRDefault="00E43A05" w:rsidP="00E43A05">
      <w:pPr>
        <w:spacing w:after="0" w:line="360" w:lineRule="auto"/>
        <w:ind w:right="283" w:firstLine="708"/>
        <w:jc w:val="both"/>
        <w:rPr>
          <w:sz w:val="24"/>
          <w:szCs w:val="24"/>
        </w:rPr>
      </w:pPr>
      <w:r>
        <w:rPr>
          <w:rFonts w:ascii="Arial" w:hAnsi="Arial" w:cs="Arial"/>
          <w:sz w:val="24"/>
          <w:szCs w:val="24"/>
        </w:rPr>
        <w:t xml:space="preserve">Assim, de acordo com as funções atinentes ao cargo de assessoria jurídica da Câmara Municipal de Duas Barras, será realizada a elaboração de parecer prévio acerca da legalidade/constitucionalidade do projeto de lei nº </w:t>
      </w:r>
      <w:r>
        <w:rPr>
          <w:rFonts w:ascii="Arial" w:hAnsi="Arial" w:cs="Arial"/>
          <w:sz w:val="24"/>
          <w:szCs w:val="24"/>
        </w:rPr>
        <w:t>35/2025</w:t>
      </w:r>
      <w:r>
        <w:rPr>
          <w:rFonts w:ascii="Arial" w:hAnsi="Arial" w:cs="Arial"/>
          <w:sz w:val="24"/>
          <w:szCs w:val="24"/>
        </w:rPr>
        <w:t xml:space="preserve">, de modo a auxiliar o parecer da Comissão de Constituição e Justiça e/ou Finanças e Orçamento, ressaltando-se que a CCJ, como as demais comissões gozam de total autonomia e independência em relação a este parecer. </w:t>
      </w:r>
    </w:p>
    <w:p w:rsidR="00E43A05" w:rsidRDefault="00E43A05" w:rsidP="00E43A05">
      <w:pPr>
        <w:spacing w:after="0" w:line="360" w:lineRule="auto"/>
        <w:ind w:right="283"/>
        <w:jc w:val="both"/>
        <w:rPr>
          <w:rFonts w:ascii="Arial" w:hAnsi="Arial" w:cs="Arial"/>
          <w:b/>
          <w:sz w:val="24"/>
          <w:szCs w:val="24"/>
        </w:rPr>
      </w:pPr>
    </w:p>
    <w:p w:rsidR="00E43A05" w:rsidRDefault="00E43A05" w:rsidP="00E43A05">
      <w:pPr>
        <w:spacing w:after="0" w:line="360" w:lineRule="auto"/>
        <w:ind w:right="283"/>
        <w:jc w:val="both"/>
      </w:pPr>
      <w:r>
        <w:rPr>
          <w:rFonts w:ascii="Arial" w:hAnsi="Arial" w:cs="Arial"/>
          <w:b/>
          <w:sz w:val="24"/>
          <w:szCs w:val="24"/>
        </w:rPr>
        <w:t xml:space="preserve">2) PRELIMINARMENTE </w:t>
      </w:r>
    </w:p>
    <w:p w:rsidR="00E43A05" w:rsidRDefault="00E43A05" w:rsidP="00E43A05">
      <w:pPr>
        <w:spacing w:after="0" w:line="360" w:lineRule="auto"/>
        <w:ind w:right="283"/>
        <w:jc w:val="both"/>
      </w:pPr>
      <w:r>
        <w:rPr>
          <w:rFonts w:ascii="Arial" w:hAnsi="Arial" w:cs="Arial"/>
          <w:b/>
          <w:sz w:val="24"/>
          <w:szCs w:val="24"/>
        </w:rPr>
        <w:t>a) Das limitações do presente parecer</w:t>
      </w:r>
    </w:p>
    <w:p w:rsidR="00E43A05" w:rsidRDefault="00E43A05" w:rsidP="00E43A05">
      <w:pPr>
        <w:spacing w:after="0" w:line="360" w:lineRule="auto"/>
        <w:ind w:right="283"/>
        <w:jc w:val="both"/>
        <w:rPr>
          <w:rFonts w:ascii="Arial" w:hAnsi="Arial" w:cs="Arial"/>
          <w:b/>
          <w:sz w:val="24"/>
          <w:szCs w:val="24"/>
        </w:rPr>
      </w:pPr>
    </w:p>
    <w:p w:rsidR="00E43A05" w:rsidRDefault="00E43A05" w:rsidP="00E43A05">
      <w:pPr>
        <w:spacing w:after="0" w:line="360" w:lineRule="auto"/>
        <w:ind w:right="283" w:firstLine="708"/>
        <w:jc w:val="both"/>
      </w:pPr>
      <w:r>
        <w:rPr>
          <w:rFonts w:ascii="Arial" w:hAnsi="Arial" w:cs="Arial"/>
          <w:sz w:val="24"/>
          <w:szCs w:val="24"/>
        </w:rPr>
        <w:t xml:space="preserve">O presente parecer tem por objetivo tão somente informar sobre a legalidade/constitucionalidade do Projeto de Lei supramencionado, limitando-se a analisá-los à luz da Constituição Federal de 1988, da Lei Orgânica Municipal, do Regimento Interno, Legislação de regência e dos Princípios norteadores da Administração Pública, estando excluídas as análises que se baseiem em funções reservadas aos órgãos de controle interno e externo, bem como dos aspectos de </w:t>
      </w:r>
      <w:r>
        <w:rPr>
          <w:rFonts w:ascii="Arial" w:hAnsi="Arial" w:cs="Arial"/>
          <w:sz w:val="24"/>
          <w:szCs w:val="24"/>
        </w:rPr>
        <w:lastRenderedPageBreak/>
        <w:t>mérito do ato administrativo e da direção das políticas públicas, bem como aquelas inerentes e exclusivas da função exercida pelo vereador.</w:t>
      </w:r>
    </w:p>
    <w:p w:rsidR="00E43A05" w:rsidRDefault="00E43A05" w:rsidP="00E43A05">
      <w:pPr>
        <w:spacing w:after="0" w:line="360" w:lineRule="auto"/>
        <w:ind w:right="283" w:firstLine="567"/>
        <w:jc w:val="both"/>
      </w:pPr>
      <w:r>
        <w:rPr>
          <w:rFonts w:ascii="Arial" w:hAnsi="Arial" w:cs="Arial"/>
          <w:sz w:val="24"/>
          <w:szCs w:val="24"/>
        </w:rPr>
        <w:t>O artigo 133, caput, da Constituição da República Federativa do Brasil de 1988 estabelece que "</w:t>
      </w:r>
      <w:r>
        <w:rPr>
          <w:rFonts w:ascii="Arial" w:hAnsi="Arial" w:cs="Arial"/>
          <w:i/>
          <w:sz w:val="24"/>
          <w:szCs w:val="24"/>
        </w:rPr>
        <w:t xml:space="preserve">o advogado é indispensável à administração da justiça, </w:t>
      </w:r>
      <w:r>
        <w:rPr>
          <w:rFonts w:ascii="Arial" w:hAnsi="Arial" w:cs="Arial"/>
          <w:b/>
          <w:bCs/>
          <w:i/>
          <w:sz w:val="24"/>
          <w:szCs w:val="24"/>
        </w:rPr>
        <w:t>sendo inviolável por seus atos e manifestações no exercício da profissão, nos limites da lei</w:t>
      </w:r>
      <w:r>
        <w:rPr>
          <w:rFonts w:ascii="Arial" w:hAnsi="Arial" w:cs="Arial"/>
          <w:i/>
          <w:sz w:val="24"/>
          <w:szCs w:val="24"/>
        </w:rPr>
        <w:t>."</w:t>
      </w:r>
      <w:r>
        <w:rPr>
          <w:rFonts w:ascii="Arial" w:hAnsi="Arial" w:cs="Arial"/>
          <w:sz w:val="24"/>
          <w:szCs w:val="24"/>
        </w:rPr>
        <w:t xml:space="preserve">  Seguindo esta linha de raciocínio, vale também citar o inciso I do artigo 7° da Lei federal nº 8.906/1994, que estabelece ser direito do advogado, dentre outros, </w:t>
      </w:r>
      <w:r>
        <w:rPr>
          <w:rFonts w:ascii="Arial" w:hAnsi="Arial" w:cs="Arial"/>
          <w:i/>
          <w:sz w:val="24"/>
          <w:szCs w:val="24"/>
        </w:rPr>
        <w:t>"exercer, com liberdade, a profissão em todo o território nacional".</w:t>
      </w:r>
    </w:p>
    <w:p w:rsidR="00E43A05" w:rsidRDefault="00E43A05" w:rsidP="00E43A05">
      <w:pPr>
        <w:spacing w:after="0" w:line="360" w:lineRule="auto"/>
        <w:ind w:right="283" w:firstLine="567"/>
        <w:jc w:val="both"/>
      </w:pPr>
      <w:r>
        <w:rPr>
          <w:rFonts w:ascii="Arial" w:hAnsi="Arial" w:cs="Arial"/>
          <w:sz w:val="24"/>
          <w:szCs w:val="24"/>
        </w:rPr>
        <w:t xml:space="preserve">Registre-se que o parecer, apesar de sua importância, imparcialidade e técnica, não tem efeito vinculante, tampouco caráter decisório, tendo as autoridades legislativas plenos poderes para acolhê-lo, no todo ou em parte, ou rejeitá-lo. E assim nos ensina José de Carvalho Filho: </w:t>
      </w:r>
    </w:p>
    <w:p w:rsidR="00E43A05" w:rsidRDefault="00E43A05" w:rsidP="00E43A05">
      <w:pPr>
        <w:spacing w:after="0" w:line="360" w:lineRule="auto"/>
        <w:ind w:right="283" w:firstLine="567"/>
        <w:jc w:val="both"/>
        <w:rPr>
          <w:rFonts w:ascii="Arial" w:hAnsi="Arial" w:cs="Arial"/>
          <w:sz w:val="24"/>
          <w:szCs w:val="24"/>
        </w:rPr>
      </w:pPr>
    </w:p>
    <w:p w:rsidR="00E43A05" w:rsidRPr="00E43A05" w:rsidRDefault="00E43A05" w:rsidP="00E43A05">
      <w:pPr>
        <w:spacing w:after="0" w:line="360" w:lineRule="auto"/>
        <w:ind w:left="3969" w:right="284"/>
        <w:jc w:val="both"/>
        <w:rPr>
          <w:sz w:val="18"/>
        </w:rPr>
      </w:pPr>
      <w:r w:rsidRPr="00E43A05">
        <w:rPr>
          <w:rFonts w:ascii="Arial" w:hAnsi="Arial" w:cs="Arial"/>
          <w:sz w:val="20"/>
        </w:rPr>
        <w:t xml:space="preserve">Os pareceres consubstanciam opiniões, pontos de vista de alguns agentes administrativos sobre matéria submetida à sua apreciação. </w:t>
      </w:r>
      <w:proofErr w:type="gramStart"/>
      <w:r w:rsidRPr="00E43A05">
        <w:rPr>
          <w:rFonts w:ascii="Arial" w:hAnsi="Arial" w:cs="Arial"/>
          <w:sz w:val="20"/>
        </w:rPr>
        <w:t>(...) Refletindo</w:t>
      </w:r>
      <w:proofErr w:type="gramEnd"/>
      <w:r w:rsidRPr="00E43A05">
        <w:rPr>
          <w:rFonts w:ascii="Arial" w:hAnsi="Arial" w:cs="Arial"/>
          <w:sz w:val="20"/>
        </w:rPr>
        <w:t xml:space="preserve"> um juízo de valor, uma opinião pessoal do </w:t>
      </w:r>
      <w:proofErr w:type="spellStart"/>
      <w:r w:rsidRPr="00E43A05">
        <w:rPr>
          <w:rFonts w:ascii="Arial" w:hAnsi="Arial" w:cs="Arial"/>
          <w:sz w:val="20"/>
        </w:rPr>
        <w:t>parecerista</w:t>
      </w:r>
      <w:proofErr w:type="spellEnd"/>
      <w:r w:rsidRPr="00E43A05">
        <w:rPr>
          <w:rFonts w:ascii="Arial" w:hAnsi="Arial" w:cs="Arial"/>
          <w:sz w:val="20"/>
        </w:rPr>
        <w:t xml:space="preserve">, o parecer não vincula a autoridade que tem competência decisória, ou seja, aquela a quem cabe praticar o ato administrativo final. Trata-se de atos diversos - o parecer e o ato que o aprova ou rejeita. Como tais atos têm </w:t>
      </w:r>
      <w:proofErr w:type="spellStart"/>
      <w:r w:rsidRPr="00E43A05">
        <w:rPr>
          <w:rFonts w:ascii="Arial" w:hAnsi="Arial" w:cs="Arial"/>
          <w:sz w:val="20"/>
        </w:rPr>
        <w:t>conteúdos</w:t>
      </w:r>
      <w:proofErr w:type="spellEnd"/>
      <w:r w:rsidRPr="00E43A05">
        <w:rPr>
          <w:rFonts w:ascii="Arial" w:hAnsi="Arial" w:cs="Arial"/>
          <w:sz w:val="20"/>
        </w:rPr>
        <w:t xml:space="preserve"> antagônicos, o agente opina nunca poderá ser o que decide.</w:t>
      </w:r>
    </w:p>
    <w:p w:rsidR="00E43A05" w:rsidRDefault="00E43A05" w:rsidP="00E43A05">
      <w:pPr>
        <w:spacing w:after="0" w:line="360" w:lineRule="auto"/>
        <w:ind w:left="3969" w:right="284"/>
        <w:jc w:val="both"/>
        <w:rPr>
          <w:rFonts w:ascii="Arial" w:hAnsi="Arial" w:cs="Arial"/>
          <w:sz w:val="24"/>
          <w:szCs w:val="24"/>
        </w:rPr>
      </w:pPr>
    </w:p>
    <w:p w:rsidR="00E43A05" w:rsidRDefault="00E43A05" w:rsidP="00E43A05">
      <w:pPr>
        <w:spacing w:after="0" w:line="360" w:lineRule="auto"/>
        <w:ind w:right="283"/>
        <w:jc w:val="both"/>
        <w:rPr>
          <w:rFonts w:ascii="Arial" w:hAnsi="Arial" w:cs="Arial"/>
          <w:sz w:val="24"/>
          <w:szCs w:val="24"/>
        </w:rPr>
      </w:pPr>
      <w:r>
        <w:rPr>
          <w:rFonts w:ascii="Arial" w:hAnsi="Arial" w:cs="Arial"/>
          <w:sz w:val="24"/>
          <w:szCs w:val="24"/>
        </w:rPr>
        <w:tab/>
        <w:t xml:space="preserve">Outrossim, cumpre ressaltar que este parecer não substitui – em nenhum caso - a análise </w:t>
      </w:r>
      <w:proofErr w:type="gramStart"/>
      <w:r>
        <w:rPr>
          <w:rFonts w:ascii="Arial" w:hAnsi="Arial" w:cs="Arial"/>
          <w:sz w:val="24"/>
          <w:szCs w:val="24"/>
        </w:rPr>
        <w:t>da(</w:t>
      </w:r>
      <w:proofErr w:type="gramEnd"/>
      <w:r>
        <w:rPr>
          <w:rFonts w:ascii="Arial" w:hAnsi="Arial" w:cs="Arial"/>
          <w:sz w:val="24"/>
          <w:szCs w:val="24"/>
        </w:rPr>
        <w:t>s) Comissão(</w:t>
      </w:r>
      <w:proofErr w:type="spellStart"/>
      <w:r>
        <w:rPr>
          <w:rFonts w:ascii="Arial" w:hAnsi="Arial" w:cs="Arial"/>
          <w:sz w:val="24"/>
          <w:szCs w:val="24"/>
        </w:rPr>
        <w:t>ões</w:t>
      </w:r>
      <w:proofErr w:type="spellEnd"/>
      <w:r>
        <w:rPr>
          <w:rFonts w:ascii="Arial" w:hAnsi="Arial" w:cs="Arial"/>
          <w:sz w:val="24"/>
          <w:szCs w:val="24"/>
        </w:rPr>
        <w:t xml:space="preserve">) competente desta Casa Legislativa, nos termos do Regimento Interno da Câmara Municipal de Duas Barras – RJ. </w:t>
      </w:r>
    </w:p>
    <w:p w:rsidR="00E43A05" w:rsidRDefault="00E43A05" w:rsidP="00E43A05">
      <w:pPr>
        <w:spacing w:after="0" w:line="360" w:lineRule="auto"/>
        <w:ind w:right="283"/>
        <w:jc w:val="both"/>
      </w:pPr>
    </w:p>
    <w:p w:rsidR="00E43A05" w:rsidRDefault="00E43A05" w:rsidP="00E43A05">
      <w:pPr>
        <w:spacing w:after="0" w:line="360" w:lineRule="auto"/>
        <w:ind w:right="283"/>
        <w:rPr>
          <w:rFonts w:ascii="Arial" w:hAnsi="Arial"/>
          <w:sz w:val="24"/>
          <w:szCs w:val="24"/>
        </w:rPr>
      </w:pPr>
      <w:r>
        <w:rPr>
          <w:rFonts w:ascii="Arial" w:hAnsi="Arial" w:cs="Arial"/>
          <w:b/>
          <w:sz w:val="24"/>
          <w:szCs w:val="24"/>
        </w:rPr>
        <w:t xml:space="preserve">3) </w:t>
      </w:r>
      <w:r>
        <w:rPr>
          <w:rFonts w:ascii="Arial" w:hAnsi="Arial" w:cs="Arial"/>
          <w:b/>
          <w:bCs/>
          <w:sz w:val="24"/>
          <w:szCs w:val="24"/>
        </w:rPr>
        <w:t>PRAZO PARA ENVIO DA LOA</w:t>
      </w:r>
    </w:p>
    <w:p w:rsidR="00E43A05" w:rsidRDefault="00E43A05" w:rsidP="00E43A05">
      <w:pPr>
        <w:spacing w:after="0" w:line="360" w:lineRule="auto"/>
        <w:ind w:right="283"/>
        <w:rPr>
          <w:rFonts w:cs="Arial"/>
          <w:b/>
          <w:bCs/>
        </w:rPr>
      </w:pPr>
    </w:p>
    <w:p w:rsidR="00E43A05" w:rsidRDefault="00E43A05" w:rsidP="00E43A05">
      <w:pPr>
        <w:spacing w:after="0" w:line="360" w:lineRule="auto"/>
        <w:ind w:right="283"/>
        <w:jc w:val="both"/>
        <w:rPr>
          <w:rFonts w:ascii="Arial" w:hAnsi="Arial" w:cs="Arial"/>
          <w:sz w:val="24"/>
          <w:szCs w:val="24"/>
        </w:rPr>
      </w:pPr>
      <w:r>
        <w:rPr>
          <w:rFonts w:ascii="Arial" w:hAnsi="Arial" w:cs="Arial"/>
          <w:sz w:val="24"/>
          <w:szCs w:val="24"/>
        </w:rPr>
        <w:tab/>
        <w:t xml:space="preserve">Segundo a CF/88, no ato das disposições constitucionais transitórias (ADCT), o projeto do orçamento anual, será encaminhado até 4 meses antes do </w:t>
      </w:r>
      <w:r>
        <w:rPr>
          <w:rFonts w:ascii="Arial" w:hAnsi="Arial" w:cs="Arial"/>
          <w:sz w:val="24"/>
          <w:szCs w:val="24"/>
        </w:rPr>
        <w:lastRenderedPageBreak/>
        <w:t>encerramento do primeiro exercício financeiro e devolvido para sanção até o encerramento da sessão legislativa.</w:t>
      </w:r>
    </w:p>
    <w:p w:rsidR="00E43A05" w:rsidRDefault="00E43A05" w:rsidP="00E43A05">
      <w:pPr>
        <w:spacing w:after="0" w:line="360" w:lineRule="auto"/>
        <w:ind w:right="283"/>
        <w:jc w:val="both"/>
        <w:rPr>
          <w:rFonts w:ascii="Arial" w:hAnsi="Arial"/>
          <w:sz w:val="24"/>
          <w:szCs w:val="24"/>
        </w:rPr>
      </w:pPr>
    </w:p>
    <w:p w:rsidR="00E43A05" w:rsidRPr="00E43A05" w:rsidRDefault="00E43A05" w:rsidP="00E43A05">
      <w:pPr>
        <w:spacing w:after="0" w:line="360" w:lineRule="auto"/>
        <w:ind w:left="3969" w:right="283"/>
        <w:jc w:val="both"/>
        <w:rPr>
          <w:rFonts w:ascii="Arial" w:hAnsi="Arial"/>
          <w:sz w:val="20"/>
        </w:rPr>
      </w:pPr>
      <w:r w:rsidRPr="00E43A05">
        <w:rPr>
          <w:rFonts w:ascii="Arial" w:hAnsi="Arial" w:cs="Arial"/>
          <w:sz w:val="20"/>
          <w:shd w:val="clear" w:color="auto" w:fill="FFFFFF"/>
        </w:rPr>
        <w:t>Art. 35. O disposto no art. 165, § 7º, será cumprido de forma progressiva, no prazo de até dez anos, distribuindo-se os recursos entre as regiões macroeconômicas em razão proporcional à população, a partir da situação verificada no biênio 1986-87.</w:t>
      </w:r>
      <w:r w:rsidRPr="00E43A05">
        <w:rPr>
          <w:rFonts w:ascii="Arial" w:hAnsi="Arial" w:cs="Arial"/>
          <w:sz w:val="20"/>
        </w:rPr>
        <w:br/>
      </w:r>
      <w:r w:rsidRPr="00E43A05">
        <w:rPr>
          <w:rFonts w:ascii="Arial" w:hAnsi="Arial" w:cs="Arial"/>
          <w:sz w:val="20"/>
          <w:shd w:val="clear" w:color="auto" w:fill="FFFFFF"/>
        </w:rPr>
        <w:t>§ 2º Até a entrada em vigor da lei complementar a que se refere o art. 165, § 9º, I e II, serão obedecidas as seguintes normas:</w:t>
      </w:r>
    </w:p>
    <w:p w:rsidR="00E43A05" w:rsidRDefault="00E43A05" w:rsidP="00E43A05">
      <w:pPr>
        <w:spacing w:after="0" w:line="360" w:lineRule="auto"/>
        <w:ind w:left="3969" w:right="284"/>
        <w:jc w:val="both"/>
        <w:rPr>
          <w:rFonts w:ascii="Arial" w:hAnsi="Arial"/>
          <w:sz w:val="24"/>
          <w:szCs w:val="24"/>
        </w:rPr>
      </w:pPr>
      <w:r w:rsidRPr="00E43A05">
        <w:rPr>
          <w:rFonts w:ascii="Arial" w:hAnsi="Arial" w:cs="Arial"/>
          <w:sz w:val="20"/>
          <w:shd w:val="clear" w:color="auto" w:fill="FFFFFF"/>
        </w:rPr>
        <w:t>III -  o projeto de lei orçamentária da União será encaminhado até quatro meses antes do encerramento do exercício financeiro e devolvido para sanção até o encerramento da sessão legislativa.</w:t>
      </w:r>
      <w:r w:rsidRPr="00E43A05">
        <w:rPr>
          <w:rFonts w:ascii="Arial" w:hAnsi="Arial" w:cs="Arial"/>
          <w:szCs w:val="24"/>
        </w:rPr>
        <w:br/>
      </w:r>
      <w:r>
        <w:rPr>
          <w:rFonts w:ascii="Arial" w:hAnsi="Arial" w:cs="Arial"/>
          <w:sz w:val="24"/>
          <w:szCs w:val="24"/>
          <w:shd w:val="clear" w:color="auto" w:fill="FFFFFF"/>
        </w:rPr>
        <w:t xml:space="preserve">      </w:t>
      </w:r>
    </w:p>
    <w:p w:rsidR="00E43A05" w:rsidRDefault="00E43A05" w:rsidP="00E43A05">
      <w:pPr>
        <w:spacing w:after="0" w:line="360" w:lineRule="auto"/>
        <w:ind w:right="283" w:firstLine="708"/>
        <w:jc w:val="both"/>
        <w:rPr>
          <w:rFonts w:cs="Arial"/>
          <w:b/>
        </w:rPr>
      </w:pPr>
      <w:r>
        <w:rPr>
          <w:rFonts w:ascii="Arial" w:hAnsi="Arial" w:cs="Arial"/>
          <w:sz w:val="24"/>
          <w:szCs w:val="24"/>
        </w:rPr>
        <w:t xml:space="preserve">O Chefe do Executivo cumpriu o prazo de encaminhamento, uma vez que o dia </w:t>
      </w:r>
      <w:r>
        <w:rPr>
          <w:rFonts w:ascii="Arial" w:hAnsi="Arial" w:cs="Arial"/>
          <w:sz w:val="24"/>
          <w:szCs w:val="24"/>
        </w:rPr>
        <w:t>29</w:t>
      </w:r>
      <w:r>
        <w:rPr>
          <w:rFonts w:ascii="Arial" w:hAnsi="Arial" w:cs="Arial"/>
          <w:sz w:val="24"/>
          <w:szCs w:val="24"/>
        </w:rPr>
        <w:t xml:space="preserve"> de </w:t>
      </w:r>
      <w:proofErr w:type="gramStart"/>
      <w:r>
        <w:rPr>
          <w:rFonts w:ascii="Arial" w:hAnsi="Arial" w:cs="Arial"/>
          <w:sz w:val="24"/>
          <w:szCs w:val="24"/>
        </w:rPr>
        <w:t>Agosto</w:t>
      </w:r>
      <w:proofErr w:type="gramEnd"/>
      <w:r>
        <w:rPr>
          <w:rFonts w:ascii="Arial" w:hAnsi="Arial" w:cs="Arial"/>
          <w:sz w:val="24"/>
          <w:szCs w:val="24"/>
        </w:rPr>
        <w:t xml:space="preserve"> de realizou o protocolo do Projeto de Lei nº </w:t>
      </w:r>
      <w:r>
        <w:rPr>
          <w:rFonts w:ascii="Arial" w:hAnsi="Arial" w:cs="Arial"/>
          <w:sz w:val="24"/>
          <w:szCs w:val="24"/>
        </w:rPr>
        <w:t>35/2025</w:t>
      </w:r>
      <w:r>
        <w:rPr>
          <w:rFonts w:ascii="Arial" w:hAnsi="Arial" w:cs="Arial"/>
          <w:sz w:val="24"/>
          <w:szCs w:val="24"/>
        </w:rPr>
        <w:t xml:space="preserve"> junto à Câmara Municipal de Duas Barras. Portanto, tempestivo o envio do projeto de lei. </w:t>
      </w:r>
    </w:p>
    <w:p w:rsidR="00E43A05" w:rsidRDefault="00E43A05" w:rsidP="00E43A05">
      <w:pPr>
        <w:spacing w:after="0" w:line="360" w:lineRule="auto"/>
        <w:ind w:right="283"/>
        <w:jc w:val="both"/>
        <w:rPr>
          <w:rFonts w:cs="Arial"/>
          <w:b/>
        </w:rPr>
      </w:pPr>
    </w:p>
    <w:p w:rsidR="00E43A05" w:rsidRDefault="00E43A05" w:rsidP="00E43A05">
      <w:pPr>
        <w:spacing w:after="0" w:line="360" w:lineRule="auto"/>
        <w:ind w:right="283"/>
        <w:jc w:val="both"/>
        <w:rPr>
          <w:rFonts w:ascii="Arial" w:hAnsi="Arial"/>
          <w:sz w:val="24"/>
          <w:szCs w:val="24"/>
        </w:rPr>
      </w:pPr>
      <w:r>
        <w:rPr>
          <w:rFonts w:ascii="Arial" w:hAnsi="Arial" w:cs="Arial"/>
          <w:b/>
          <w:sz w:val="24"/>
          <w:szCs w:val="24"/>
        </w:rPr>
        <w:t>4) DOS FUNDAMENTOS</w:t>
      </w:r>
    </w:p>
    <w:p w:rsidR="00E43A05" w:rsidRDefault="00E43A05" w:rsidP="00E43A05">
      <w:pPr>
        <w:spacing w:after="0" w:line="360" w:lineRule="auto"/>
        <w:ind w:right="283"/>
        <w:jc w:val="both"/>
        <w:rPr>
          <w:rFonts w:cs="Arial"/>
          <w:b/>
        </w:rPr>
      </w:pPr>
    </w:p>
    <w:p w:rsidR="00E43A05" w:rsidRDefault="00E43A05" w:rsidP="00E43A05">
      <w:pPr>
        <w:numPr>
          <w:ilvl w:val="0"/>
          <w:numId w:val="20"/>
        </w:numPr>
        <w:spacing w:after="0" w:line="360" w:lineRule="auto"/>
        <w:jc w:val="both"/>
        <w:rPr>
          <w:rFonts w:ascii="Arial" w:hAnsi="Arial"/>
          <w:sz w:val="24"/>
          <w:szCs w:val="24"/>
        </w:rPr>
      </w:pPr>
      <w:r>
        <w:rPr>
          <w:rFonts w:ascii="Arial" w:hAnsi="Arial" w:cs="Arial"/>
          <w:b/>
          <w:sz w:val="24"/>
          <w:szCs w:val="24"/>
        </w:rPr>
        <w:t xml:space="preserve">4.1) COMPETÊNCIA DA COMISSÃO DE CONSTITUIÇÃO, JUSTIÇA E REDAÇÃO E DA COMISSÃO DE FINANÇAS E ORÇAMENTO PARA EMISSÃO DE PARECER CONJUNTO A RESPEITO DA LOA </w:t>
      </w:r>
      <w:r>
        <w:rPr>
          <w:rFonts w:ascii="Arial" w:hAnsi="Arial" w:cs="Arial"/>
          <w:b/>
          <w:sz w:val="24"/>
          <w:szCs w:val="24"/>
        </w:rPr>
        <w:t>2026</w:t>
      </w:r>
    </w:p>
    <w:p w:rsidR="00E43A05" w:rsidRDefault="00E43A05" w:rsidP="00E43A05">
      <w:pPr>
        <w:spacing w:after="0" w:line="360" w:lineRule="auto"/>
        <w:ind w:left="1068"/>
        <w:jc w:val="both"/>
        <w:rPr>
          <w:rFonts w:ascii="Arial" w:hAnsi="Arial"/>
          <w:b/>
          <w:sz w:val="24"/>
          <w:szCs w:val="24"/>
        </w:rPr>
      </w:pP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As atribuições da Comissão de Constituição, Justiça e Redação final, encontram-se no art. 71 e </w:t>
      </w:r>
      <w:proofErr w:type="spellStart"/>
      <w:r>
        <w:rPr>
          <w:rFonts w:ascii="Arial" w:hAnsi="Arial" w:cs="Arial"/>
          <w:sz w:val="24"/>
          <w:szCs w:val="24"/>
        </w:rPr>
        <w:t>ss</w:t>
      </w:r>
      <w:proofErr w:type="spellEnd"/>
      <w:r>
        <w:rPr>
          <w:rFonts w:ascii="Arial" w:hAnsi="Arial" w:cs="Arial"/>
          <w:sz w:val="24"/>
          <w:szCs w:val="24"/>
        </w:rPr>
        <w:t xml:space="preserve"> do Regimento Interno da Casa, que prevê que a Comissã</w:t>
      </w:r>
      <w:r>
        <w:rPr>
          <w:rFonts w:ascii="Arial" w:hAnsi="Arial" w:cs="Arial"/>
          <w:iCs/>
          <w:sz w:val="24"/>
          <w:szCs w:val="24"/>
        </w:rPr>
        <w:t>o de Justiça e Redação Final deve se manifestar sobre todos os assuntos entregues à sua apreciação nos aspectos constitucional e legal.</w:t>
      </w: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Assim, a análise da Comissão em tal projeto de lei é necessária visando observar se foram observados os critérios legais e redacionais que devem nortear a boa técnica legislativa, bem como a observância dos requisitos da LRF e demais aspectos legais que regem o orçamento público municipal.  </w:t>
      </w:r>
    </w:p>
    <w:p w:rsidR="00E43A05" w:rsidRDefault="00E43A05" w:rsidP="00E43A05">
      <w:pPr>
        <w:spacing w:after="0" w:line="360" w:lineRule="auto"/>
        <w:ind w:firstLine="709"/>
        <w:jc w:val="both"/>
        <w:rPr>
          <w:rFonts w:ascii="Arial" w:hAnsi="Arial"/>
          <w:sz w:val="24"/>
          <w:szCs w:val="24"/>
        </w:rPr>
      </w:pPr>
      <w:r>
        <w:rPr>
          <w:rFonts w:ascii="Arial" w:hAnsi="Arial" w:cs="Arial"/>
          <w:sz w:val="24"/>
          <w:szCs w:val="24"/>
        </w:rPr>
        <w:lastRenderedPageBreak/>
        <w:t xml:space="preserve">Já em relação as atribuições da Comissão de Finanças e Orçamento art. 75 do Regimento Interno da Casa de Leis, prevê que: </w:t>
      </w:r>
    </w:p>
    <w:p w:rsidR="00E43A05" w:rsidRDefault="00E43A05" w:rsidP="00E43A05">
      <w:pPr>
        <w:spacing w:after="0" w:line="360" w:lineRule="auto"/>
        <w:ind w:firstLine="709"/>
        <w:jc w:val="both"/>
        <w:rPr>
          <w:rFonts w:ascii="Arial" w:hAnsi="Arial" w:cs="Arial"/>
          <w:i/>
          <w:sz w:val="24"/>
          <w:szCs w:val="24"/>
        </w:rPr>
      </w:pPr>
    </w:p>
    <w:p w:rsidR="00E43A05" w:rsidRPr="00E43A05" w:rsidRDefault="00E43A05" w:rsidP="00E43A05">
      <w:pPr>
        <w:spacing w:after="0" w:line="360" w:lineRule="auto"/>
        <w:ind w:left="3402"/>
        <w:jc w:val="both"/>
        <w:rPr>
          <w:rFonts w:ascii="Arial" w:hAnsi="Arial"/>
          <w:sz w:val="20"/>
          <w:szCs w:val="24"/>
        </w:rPr>
      </w:pPr>
      <w:r w:rsidRPr="00E43A05">
        <w:rPr>
          <w:rFonts w:ascii="Arial" w:hAnsi="Arial" w:cs="Arial"/>
          <w:iCs/>
          <w:sz w:val="20"/>
          <w:szCs w:val="24"/>
        </w:rPr>
        <w:t xml:space="preserve">Art.75- Compete à Comissão de Finanças e Orçamento opinar obrigatoriamente sobre todas as matérias de </w:t>
      </w:r>
      <w:r w:rsidRPr="00E43A05">
        <w:rPr>
          <w:rFonts w:ascii="Arial" w:hAnsi="Arial" w:cs="Arial"/>
          <w:b/>
          <w:iCs/>
          <w:sz w:val="20"/>
          <w:szCs w:val="24"/>
        </w:rPr>
        <w:t>caráter financeiro</w:t>
      </w:r>
      <w:r w:rsidRPr="00E43A05">
        <w:rPr>
          <w:rFonts w:ascii="Arial" w:hAnsi="Arial" w:cs="Arial"/>
          <w:iCs/>
          <w:sz w:val="20"/>
          <w:szCs w:val="24"/>
        </w:rPr>
        <w:t>, e especialmente quando for o caso de:</w:t>
      </w:r>
    </w:p>
    <w:p w:rsidR="00E43A05" w:rsidRPr="00E43A05" w:rsidRDefault="00E43A05" w:rsidP="00E43A05">
      <w:pPr>
        <w:spacing w:after="0" w:line="360" w:lineRule="auto"/>
        <w:ind w:left="3402"/>
        <w:jc w:val="both"/>
        <w:rPr>
          <w:rFonts w:ascii="Arial" w:hAnsi="Arial"/>
          <w:sz w:val="20"/>
          <w:szCs w:val="24"/>
        </w:rPr>
      </w:pPr>
      <w:r w:rsidRPr="00E43A05">
        <w:rPr>
          <w:rFonts w:ascii="Arial" w:hAnsi="Arial" w:cs="Arial"/>
          <w:b/>
          <w:iCs/>
          <w:sz w:val="20"/>
          <w:szCs w:val="24"/>
        </w:rPr>
        <w:t>III- Proposta orçamentária;</w:t>
      </w:r>
    </w:p>
    <w:p w:rsidR="00E43A05" w:rsidRDefault="00E43A05" w:rsidP="00E43A05">
      <w:pPr>
        <w:spacing w:after="0" w:line="360" w:lineRule="auto"/>
        <w:ind w:left="3402"/>
        <w:jc w:val="both"/>
        <w:rPr>
          <w:rFonts w:ascii="Arial" w:hAnsi="Arial" w:cs="Arial"/>
          <w:i/>
          <w:iCs/>
          <w:sz w:val="24"/>
          <w:szCs w:val="24"/>
        </w:rPr>
      </w:pPr>
    </w:p>
    <w:p w:rsidR="00E43A05" w:rsidRDefault="00E43A05" w:rsidP="00E43A05">
      <w:pPr>
        <w:spacing w:after="0" w:line="360" w:lineRule="auto"/>
        <w:jc w:val="both"/>
        <w:rPr>
          <w:rFonts w:ascii="Arial" w:hAnsi="Arial"/>
          <w:sz w:val="24"/>
          <w:szCs w:val="24"/>
        </w:rPr>
      </w:pPr>
      <w:r>
        <w:rPr>
          <w:rFonts w:ascii="Arial" w:hAnsi="Arial" w:cs="Arial"/>
          <w:sz w:val="24"/>
          <w:szCs w:val="24"/>
        </w:rPr>
        <w:tab/>
        <w:t xml:space="preserve">Desta forma, deve ser elaborado parecer conjunto entre as duas Comissões de modo a ser realizada uma análise una do Projeto de Lei nº </w:t>
      </w:r>
      <w:r>
        <w:rPr>
          <w:rFonts w:ascii="Arial" w:hAnsi="Arial" w:cs="Arial"/>
          <w:sz w:val="24"/>
          <w:szCs w:val="24"/>
        </w:rPr>
        <w:t>35/2025</w:t>
      </w:r>
      <w:r>
        <w:rPr>
          <w:rFonts w:ascii="Arial" w:hAnsi="Arial" w:cs="Arial"/>
          <w:sz w:val="24"/>
          <w:szCs w:val="24"/>
        </w:rPr>
        <w:t>.</w:t>
      </w:r>
    </w:p>
    <w:p w:rsidR="00E43A05" w:rsidRDefault="00E43A05" w:rsidP="00E43A05">
      <w:pPr>
        <w:spacing w:after="0" w:line="360" w:lineRule="auto"/>
        <w:jc w:val="both"/>
        <w:rPr>
          <w:rFonts w:cs="Arial"/>
        </w:rPr>
      </w:pPr>
    </w:p>
    <w:p w:rsidR="00E43A05" w:rsidRDefault="00E43A05" w:rsidP="00E43A05">
      <w:pPr>
        <w:numPr>
          <w:ilvl w:val="0"/>
          <w:numId w:val="20"/>
        </w:numPr>
        <w:spacing w:after="0" w:line="360" w:lineRule="auto"/>
        <w:jc w:val="both"/>
        <w:rPr>
          <w:rFonts w:ascii="Arial" w:hAnsi="Arial"/>
          <w:sz w:val="24"/>
          <w:szCs w:val="24"/>
        </w:rPr>
      </w:pPr>
      <w:r>
        <w:rPr>
          <w:rFonts w:ascii="Arial" w:hAnsi="Arial" w:cs="Arial"/>
          <w:b/>
          <w:sz w:val="24"/>
          <w:szCs w:val="24"/>
        </w:rPr>
        <w:t xml:space="preserve">4.2) DA COMPETÊNCIA LEGISLATIVA </w:t>
      </w:r>
    </w:p>
    <w:p w:rsidR="00E43A05" w:rsidRDefault="00E43A05" w:rsidP="00E43A05">
      <w:pPr>
        <w:numPr>
          <w:ilvl w:val="0"/>
          <w:numId w:val="20"/>
        </w:numPr>
        <w:spacing w:after="0" w:line="360" w:lineRule="auto"/>
        <w:jc w:val="both"/>
        <w:rPr>
          <w:rFonts w:cs="Arial"/>
          <w:b/>
        </w:rPr>
      </w:pP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No que se refere a competência legislativa para proposição da matéria e estando diretamente relacionada à constitucionalidade formal do projeto, a Lei Orçamentária Anual - LOA, é uma lei elaborada pelo Poder Executivo estabelecendo as receitas e despesas que serão realizadas no ano seguintes, qual seja </w:t>
      </w:r>
      <w:r>
        <w:rPr>
          <w:rFonts w:ascii="Arial" w:hAnsi="Arial" w:cs="Arial"/>
          <w:sz w:val="24"/>
          <w:szCs w:val="24"/>
        </w:rPr>
        <w:t>2026</w:t>
      </w:r>
      <w:r>
        <w:rPr>
          <w:rFonts w:ascii="Arial" w:hAnsi="Arial" w:cs="Arial"/>
          <w:sz w:val="24"/>
          <w:szCs w:val="24"/>
        </w:rPr>
        <w:t xml:space="preserve">. </w:t>
      </w: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Segundo o que prevê a Constituição Federal em seu art. 165, serão leis de iniciativa do Poder Executivo, as que estabelecerem os orçamentos anuais (Art. 165, III, CF/88).</w:t>
      </w: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 Além de previsão constitucional expressa, o art. 30, I da Constituição Federal também prevê que é de competência </w:t>
      </w:r>
      <w:proofErr w:type="gramStart"/>
      <w:r>
        <w:rPr>
          <w:rFonts w:ascii="Arial" w:hAnsi="Arial" w:cs="Arial"/>
          <w:sz w:val="24"/>
          <w:szCs w:val="24"/>
        </w:rPr>
        <w:t>dos</w:t>
      </w:r>
      <w:proofErr w:type="gramEnd"/>
      <w:r>
        <w:rPr>
          <w:rFonts w:ascii="Arial" w:hAnsi="Arial" w:cs="Arial"/>
          <w:sz w:val="24"/>
          <w:szCs w:val="24"/>
        </w:rPr>
        <w:t xml:space="preserve"> Municípios legislar sobre assuntos de interesse local, sendo o orçamento público municipal um desses pontos que podem ser classificados como ‘interesse local’. </w:t>
      </w: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Por se tratar de norma de observância obrigatória pelos Estados e Municípios, a Lei Orgânica do Município de Duas Barras também prevê em seus artigos 86 e 165, a competência para que o Poder Executivo/Chefe do Poder Executivo, elabore e encaminhe à Câmara Municipal de Duas Barras, o orçamento anual, conforme abaixo: </w:t>
      </w:r>
    </w:p>
    <w:p w:rsidR="00E43A05" w:rsidRDefault="00E43A05" w:rsidP="00E43A05">
      <w:pPr>
        <w:spacing w:after="0" w:line="360" w:lineRule="auto"/>
        <w:ind w:firstLine="708"/>
        <w:jc w:val="both"/>
        <w:rPr>
          <w:rFonts w:ascii="Arial" w:hAnsi="Arial" w:cs="Arial"/>
          <w:sz w:val="24"/>
          <w:szCs w:val="24"/>
        </w:rPr>
      </w:pPr>
    </w:p>
    <w:p w:rsidR="00E43A05" w:rsidRPr="00E43A05" w:rsidRDefault="00E43A05" w:rsidP="00E43A05">
      <w:pPr>
        <w:spacing w:after="0" w:line="360" w:lineRule="auto"/>
        <w:ind w:left="3402"/>
        <w:jc w:val="both"/>
        <w:rPr>
          <w:rFonts w:ascii="Arial" w:hAnsi="Arial"/>
          <w:szCs w:val="24"/>
        </w:rPr>
      </w:pPr>
      <w:r w:rsidRPr="00E43A05">
        <w:rPr>
          <w:rFonts w:ascii="Arial" w:hAnsi="Arial" w:cs="Arial"/>
          <w:szCs w:val="24"/>
        </w:rPr>
        <w:t xml:space="preserve">Art. 86 – Compete ao Prefeito, entre outras atribuições: </w:t>
      </w:r>
    </w:p>
    <w:p w:rsidR="00E43A05" w:rsidRPr="00E43A05" w:rsidRDefault="00E43A05" w:rsidP="00E43A05">
      <w:pPr>
        <w:spacing w:after="0" w:line="360" w:lineRule="auto"/>
        <w:ind w:left="3402"/>
        <w:jc w:val="both"/>
        <w:rPr>
          <w:rFonts w:ascii="Arial" w:hAnsi="Arial"/>
          <w:szCs w:val="24"/>
        </w:rPr>
      </w:pPr>
      <w:r w:rsidRPr="00E43A05">
        <w:rPr>
          <w:rFonts w:ascii="Arial" w:hAnsi="Arial" w:cs="Arial"/>
          <w:szCs w:val="24"/>
        </w:rPr>
        <w:t xml:space="preserve">X – </w:t>
      </w:r>
      <w:proofErr w:type="gramStart"/>
      <w:r w:rsidRPr="00E43A05">
        <w:rPr>
          <w:rFonts w:ascii="Arial" w:hAnsi="Arial" w:cs="Arial"/>
          <w:szCs w:val="24"/>
        </w:rPr>
        <w:t>enviar</w:t>
      </w:r>
      <w:proofErr w:type="gramEnd"/>
      <w:r w:rsidRPr="00E43A05">
        <w:rPr>
          <w:rFonts w:ascii="Arial" w:hAnsi="Arial" w:cs="Arial"/>
          <w:szCs w:val="24"/>
        </w:rPr>
        <w:t xml:space="preserve"> à Câmara até 30 de setembro, os projetos de lei relativos ao </w:t>
      </w:r>
      <w:r w:rsidRPr="00E43A05">
        <w:rPr>
          <w:rFonts w:ascii="Arial" w:hAnsi="Arial" w:cs="Arial"/>
          <w:b/>
          <w:szCs w:val="24"/>
        </w:rPr>
        <w:t>orçamento anual</w:t>
      </w:r>
      <w:r w:rsidRPr="00E43A05">
        <w:rPr>
          <w:rFonts w:ascii="Arial" w:hAnsi="Arial" w:cs="Arial"/>
          <w:szCs w:val="24"/>
        </w:rPr>
        <w:t xml:space="preserve"> e ao plano plurianual do Municípios e das suas autarquias;</w:t>
      </w:r>
    </w:p>
    <w:p w:rsidR="00E43A05" w:rsidRPr="00E43A05" w:rsidRDefault="00E43A05" w:rsidP="00E43A05">
      <w:pPr>
        <w:spacing w:after="0" w:line="360" w:lineRule="auto"/>
        <w:ind w:left="3402"/>
        <w:jc w:val="both"/>
        <w:rPr>
          <w:rFonts w:ascii="Arial" w:hAnsi="Arial" w:cs="Arial"/>
          <w:szCs w:val="24"/>
        </w:rPr>
      </w:pPr>
    </w:p>
    <w:p w:rsidR="00E43A05" w:rsidRPr="00E43A05" w:rsidRDefault="00E43A05" w:rsidP="00E43A05">
      <w:pPr>
        <w:spacing w:after="0" w:line="360" w:lineRule="auto"/>
        <w:ind w:left="3402"/>
        <w:jc w:val="both"/>
        <w:rPr>
          <w:rFonts w:ascii="Arial" w:hAnsi="Arial"/>
          <w:szCs w:val="24"/>
        </w:rPr>
      </w:pPr>
      <w:r w:rsidRPr="00E43A05">
        <w:rPr>
          <w:rFonts w:ascii="Arial" w:hAnsi="Arial" w:cs="Arial"/>
          <w:szCs w:val="24"/>
        </w:rPr>
        <w:t>Art. 165 – Leis de iniciativa do Poder Executivo estabelecerão:</w:t>
      </w:r>
    </w:p>
    <w:p w:rsidR="00E43A05" w:rsidRPr="00E43A05" w:rsidRDefault="00E43A05" w:rsidP="00E43A05">
      <w:pPr>
        <w:spacing w:after="0" w:line="360" w:lineRule="auto"/>
        <w:ind w:left="3402"/>
        <w:jc w:val="both"/>
        <w:rPr>
          <w:rFonts w:ascii="Arial" w:hAnsi="Arial"/>
          <w:szCs w:val="24"/>
        </w:rPr>
      </w:pPr>
      <w:r w:rsidRPr="00E43A05">
        <w:rPr>
          <w:rFonts w:ascii="Arial" w:hAnsi="Arial" w:cs="Arial"/>
          <w:szCs w:val="24"/>
        </w:rPr>
        <w:t xml:space="preserve">I – </w:t>
      </w:r>
      <w:proofErr w:type="gramStart"/>
      <w:r w:rsidRPr="00E43A05">
        <w:rPr>
          <w:rFonts w:ascii="Arial" w:hAnsi="Arial" w:cs="Arial"/>
          <w:szCs w:val="24"/>
        </w:rPr>
        <w:t>o</w:t>
      </w:r>
      <w:proofErr w:type="gramEnd"/>
      <w:r w:rsidRPr="00E43A05">
        <w:rPr>
          <w:rFonts w:ascii="Arial" w:hAnsi="Arial" w:cs="Arial"/>
          <w:szCs w:val="24"/>
        </w:rPr>
        <w:t xml:space="preserve"> plano plurianual;</w:t>
      </w:r>
    </w:p>
    <w:p w:rsidR="00E43A05" w:rsidRPr="00E43A05" w:rsidRDefault="00E43A05" w:rsidP="00E43A05">
      <w:pPr>
        <w:spacing w:after="0" w:line="360" w:lineRule="auto"/>
        <w:ind w:left="3402"/>
        <w:jc w:val="both"/>
        <w:rPr>
          <w:rFonts w:ascii="Arial" w:hAnsi="Arial"/>
          <w:szCs w:val="24"/>
        </w:rPr>
      </w:pPr>
      <w:r w:rsidRPr="00E43A05">
        <w:rPr>
          <w:rFonts w:ascii="Arial" w:hAnsi="Arial" w:cs="Arial"/>
          <w:szCs w:val="24"/>
        </w:rPr>
        <w:t xml:space="preserve">II – </w:t>
      </w:r>
      <w:proofErr w:type="gramStart"/>
      <w:r w:rsidRPr="00E43A05">
        <w:rPr>
          <w:rFonts w:ascii="Arial" w:hAnsi="Arial" w:cs="Arial"/>
          <w:szCs w:val="24"/>
        </w:rPr>
        <w:t>as</w:t>
      </w:r>
      <w:proofErr w:type="gramEnd"/>
      <w:r w:rsidRPr="00E43A05">
        <w:rPr>
          <w:rFonts w:ascii="Arial" w:hAnsi="Arial" w:cs="Arial"/>
          <w:szCs w:val="24"/>
        </w:rPr>
        <w:t xml:space="preserve"> diretrizes orçamentárias;</w:t>
      </w:r>
    </w:p>
    <w:p w:rsidR="00E43A05" w:rsidRPr="00E43A05" w:rsidRDefault="00E43A05" w:rsidP="00E43A05">
      <w:pPr>
        <w:spacing w:after="0" w:line="360" w:lineRule="auto"/>
        <w:ind w:left="3402"/>
        <w:jc w:val="both"/>
        <w:rPr>
          <w:rFonts w:ascii="Arial" w:hAnsi="Arial"/>
          <w:szCs w:val="24"/>
        </w:rPr>
      </w:pPr>
      <w:r w:rsidRPr="00E43A05">
        <w:rPr>
          <w:rFonts w:ascii="Arial" w:hAnsi="Arial" w:cs="Arial"/>
          <w:b/>
          <w:szCs w:val="24"/>
        </w:rPr>
        <w:t>III – os orçamentos anuais.</w:t>
      </w:r>
    </w:p>
    <w:p w:rsidR="00E43A05" w:rsidRDefault="00E43A05" w:rsidP="00E43A05">
      <w:pPr>
        <w:spacing w:after="0" w:line="360" w:lineRule="auto"/>
        <w:ind w:left="3402"/>
        <w:jc w:val="both"/>
        <w:rPr>
          <w:rFonts w:ascii="Arial" w:hAnsi="Arial" w:cs="Arial"/>
          <w:b/>
          <w:sz w:val="24"/>
          <w:szCs w:val="24"/>
        </w:rPr>
      </w:pPr>
    </w:p>
    <w:p w:rsidR="00E43A05" w:rsidRDefault="00E43A05" w:rsidP="00E43A05">
      <w:pPr>
        <w:pStyle w:val="SemEspaamento"/>
        <w:spacing w:line="360" w:lineRule="auto"/>
        <w:ind w:firstLine="708"/>
        <w:jc w:val="both"/>
        <w:rPr>
          <w:rFonts w:ascii="Arial" w:hAnsi="Arial"/>
        </w:rPr>
      </w:pPr>
      <w:r>
        <w:rPr>
          <w:rFonts w:ascii="Arial" w:hAnsi="Arial" w:cs="Arial"/>
        </w:rPr>
        <w:t xml:space="preserve">Desta forma, conclui-se que </w:t>
      </w:r>
      <w:r>
        <w:rPr>
          <w:rFonts w:ascii="Arial" w:hAnsi="Arial" w:cs="Arial"/>
          <w:b/>
          <w:u w:val="single"/>
        </w:rPr>
        <w:t>não há vício formal de iniciativa legislativa</w:t>
      </w:r>
      <w:r>
        <w:rPr>
          <w:rFonts w:ascii="Arial" w:hAnsi="Arial" w:cs="Arial"/>
        </w:rPr>
        <w:t xml:space="preserve">, podendo o referido projeto ter sua constitucionalidade analisada abaixo, bem como prosseguir de acordo com as normas do processo legislativo. </w:t>
      </w:r>
    </w:p>
    <w:p w:rsidR="00E43A05" w:rsidRDefault="00E43A05" w:rsidP="00E43A05">
      <w:pPr>
        <w:pStyle w:val="SemEspaamento"/>
        <w:spacing w:line="360" w:lineRule="auto"/>
        <w:ind w:firstLine="708"/>
        <w:jc w:val="both"/>
        <w:rPr>
          <w:rFonts w:ascii="Arial" w:hAnsi="Arial" w:cs="Arial"/>
        </w:rPr>
      </w:pPr>
    </w:p>
    <w:p w:rsidR="00E43A05" w:rsidRDefault="00E43A05" w:rsidP="00E43A05">
      <w:pPr>
        <w:numPr>
          <w:ilvl w:val="0"/>
          <w:numId w:val="20"/>
        </w:numPr>
        <w:spacing w:after="0" w:line="360" w:lineRule="auto"/>
        <w:jc w:val="both"/>
        <w:rPr>
          <w:rFonts w:ascii="Arial" w:hAnsi="Arial"/>
          <w:sz w:val="24"/>
          <w:szCs w:val="24"/>
        </w:rPr>
      </w:pPr>
      <w:r>
        <w:rPr>
          <w:rFonts w:ascii="Arial" w:hAnsi="Arial" w:cs="Arial"/>
          <w:b/>
          <w:sz w:val="24"/>
          <w:szCs w:val="24"/>
        </w:rPr>
        <w:t>4.3) DO PROJETO DE LEI, DA OBSERVÂNCIA DOS CRITÉRIOS LEGAIS E DA CONSTITUCIONALIDADE</w:t>
      </w:r>
    </w:p>
    <w:p w:rsidR="00E43A05" w:rsidRDefault="00E43A05" w:rsidP="00E43A05">
      <w:pPr>
        <w:numPr>
          <w:ilvl w:val="0"/>
          <w:numId w:val="20"/>
        </w:numPr>
        <w:spacing w:after="0" w:line="360" w:lineRule="auto"/>
        <w:jc w:val="both"/>
        <w:rPr>
          <w:rFonts w:cs="Arial"/>
          <w:b/>
        </w:rPr>
      </w:pPr>
    </w:p>
    <w:p w:rsidR="00E43A05" w:rsidRDefault="00E43A05" w:rsidP="00E43A05">
      <w:pPr>
        <w:spacing w:after="0" w:line="360" w:lineRule="auto"/>
        <w:ind w:firstLine="360"/>
        <w:jc w:val="both"/>
        <w:rPr>
          <w:rFonts w:ascii="Arial" w:hAnsi="Arial"/>
          <w:sz w:val="24"/>
          <w:szCs w:val="24"/>
        </w:rPr>
      </w:pPr>
      <w:r>
        <w:rPr>
          <w:rFonts w:ascii="Arial" w:hAnsi="Arial" w:cs="Arial"/>
          <w:sz w:val="24"/>
          <w:szCs w:val="24"/>
        </w:rPr>
        <w:t xml:space="preserve">Quando se fala em orçamento anual, devem ser observadas todas as normas que dizem respeito a esse assunto, observados os critérios do art. 165, §5º da Constituição Federal que prevê o que deve constar na Lei Orçamentária Anual, bem como o art. 166 da Lei Orgânica Municipal. </w:t>
      </w:r>
    </w:p>
    <w:p w:rsidR="00E43A05" w:rsidRDefault="00E43A05" w:rsidP="00E43A05">
      <w:pPr>
        <w:spacing w:after="0" w:line="360" w:lineRule="auto"/>
        <w:ind w:firstLine="360"/>
        <w:jc w:val="both"/>
        <w:rPr>
          <w:rFonts w:ascii="Arial" w:hAnsi="Arial"/>
          <w:sz w:val="24"/>
          <w:szCs w:val="24"/>
        </w:rPr>
      </w:pPr>
      <w:r>
        <w:rPr>
          <w:rFonts w:ascii="Arial" w:hAnsi="Arial" w:cs="Arial"/>
          <w:sz w:val="24"/>
          <w:szCs w:val="24"/>
        </w:rPr>
        <w:t xml:space="preserve">A Lei que trata de orçamento anual deve compreender o orçamento fiscal dos poderes do Município, seus fundos, órgãos e entidades, seja elas da Administração Direta ou Indireta; além de orçamento da seguridade social, observado expressamente a previsão abaixo da Lei Orgânica Municipal: </w:t>
      </w:r>
    </w:p>
    <w:p w:rsidR="00E43A05" w:rsidRDefault="00E43A05" w:rsidP="00E43A05">
      <w:pPr>
        <w:spacing w:after="0" w:line="360" w:lineRule="auto"/>
        <w:ind w:firstLine="360"/>
        <w:jc w:val="both"/>
        <w:rPr>
          <w:rFonts w:ascii="Arial" w:hAnsi="Arial" w:cs="Arial"/>
          <w:szCs w:val="24"/>
        </w:rPr>
      </w:pPr>
    </w:p>
    <w:p w:rsidR="00E43A05" w:rsidRPr="00E43A05" w:rsidRDefault="00E43A05" w:rsidP="00E43A05">
      <w:pPr>
        <w:spacing w:after="0" w:line="360" w:lineRule="auto"/>
        <w:ind w:left="3402"/>
        <w:jc w:val="both"/>
        <w:rPr>
          <w:rFonts w:ascii="Arial" w:hAnsi="Arial"/>
          <w:sz w:val="18"/>
          <w:szCs w:val="24"/>
        </w:rPr>
      </w:pPr>
      <w:r w:rsidRPr="00E43A05">
        <w:rPr>
          <w:rFonts w:ascii="Arial" w:hAnsi="Arial" w:cs="Arial"/>
          <w:sz w:val="18"/>
          <w:szCs w:val="24"/>
        </w:rPr>
        <w:t>Art. 166 – A lei orçamentária anual compreenderá:</w:t>
      </w:r>
    </w:p>
    <w:p w:rsidR="00E43A05" w:rsidRPr="00E43A05" w:rsidRDefault="00E43A05" w:rsidP="00E43A05">
      <w:pPr>
        <w:spacing w:after="0" w:line="360" w:lineRule="auto"/>
        <w:ind w:left="3402"/>
        <w:jc w:val="both"/>
        <w:rPr>
          <w:rFonts w:ascii="Arial" w:hAnsi="Arial"/>
          <w:sz w:val="18"/>
          <w:szCs w:val="24"/>
        </w:rPr>
      </w:pPr>
      <w:r w:rsidRPr="00E43A05">
        <w:rPr>
          <w:rFonts w:ascii="Arial" w:hAnsi="Arial" w:cs="Arial"/>
          <w:sz w:val="18"/>
          <w:szCs w:val="24"/>
        </w:rPr>
        <w:t xml:space="preserve">I – </w:t>
      </w:r>
      <w:proofErr w:type="gramStart"/>
      <w:r w:rsidRPr="00E43A05">
        <w:rPr>
          <w:rFonts w:ascii="Arial" w:hAnsi="Arial" w:cs="Arial"/>
          <w:sz w:val="18"/>
          <w:szCs w:val="24"/>
        </w:rPr>
        <w:t>o</w:t>
      </w:r>
      <w:proofErr w:type="gramEnd"/>
      <w:r w:rsidRPr="00E43A05">
        <w:rPr>
          <w:rFonts w:ascii="Arial" w:hAnsi="Arial" w:cs="Arial"/>
          <w:sz w:val="18"/>
          <w:szCs w:val="24"/>
        </w:rPr>
        <w:t xml:space="preserve"> </w:t>
      </w:r>
      <w:r w:rsidRPr="00E43A05">
        <w:rPr>
          <w:rFonts w:ascii="Arial" w:hAnsi="Arial" w:cs="Arial"/>
          <w:b/>
          <w:sz w:val="18"/>
          <w:szCs w:val="24"/>
        </w:rPr>
        <w:t>orçamento fiscal</w:t>
      </w:r>
      <w:r w:rsidRPr="00E43A05">
        <w:rPr>
          <w:rFonts w:ascii="Arial" w:hAnsi="Arial" w:cs="Arial"/>
          <w:sz w:val="18"/>
          <w:szCs w:val="24"/>
        </w:rPr>
        <w:t xml:space="preserve"> referente aos poderes do Município, seus fundos, órgãos e entidades da administração direta ou indireta;</w:t>
      </w:r>
    </w:p>
    <w:p w:rsidR="00E43A05" w:rsidRPr="00E43A05" w:rsidRDefault="00E43A05" w:rsidP="00E43A05">
      <w:pPr>
        <w:spacing w:after="0" w:line="360" w:lineRule="auto"/>
        <w:ind w:left="3402"/>
        <w:jc w:val="both"/>
        <w:rPr>
          <w:rFonts w:ascii="Arial" w:hAnsi="Arial"/>
          <w:sz w:val="18"/>
          <w:szCs w:val="24"/>
        </w:rPr>
      </w:pPr>
      <w:r w:rsidRPr="00E43A05">
        <w:rPr>
          <w:rFonts w:ascii="Arial" w:hAnsi="Arial" w:cs="Arial"/>
          <w:sz w:val="18"/>
          <w:szCs w:val="24"/>
        </w:rPr>
        <w:t xml:space="preserve">II – </w:t>
      </w:r>
      <w:proofErr w:type="gramStart"/>
      <w:r w:rsidRPr="00E43A05">
        <w:rPr>
          <w:rFonts w:ascii="Arial" w:hAnsi="Arial" w:cs="Arial"/>
          <w:sz w:val="18"/>
          <w:szCs w:val="24"/>
        </w:rPr>
        <w:t>o</w:t>
      </w:r>
      <w:proofErr w:type="gramEnd"/>
      <w:r w:rsidRPr="00E43A05">
        <w:rPr>
          <w:rFonts w:ascii="Arial" w:hAnsi="Arial" w:cs="Arial"/>
          <w:sz w:val="18"/>
          <w:szCs w:val="24"/>
        </w:rPr>
        <w:t xml:space="preserve"> orçamento de investimento das empresas em que o Município, direta ou indiretamente, detenha a maioria do capital social com direito a voto;</w:t>
      </w:r>
    </w:p>
    <w:p w:rsidR="00E43A05" w:rsidRPr="00E43A05" w:rsidRDefault="00E43A05" w:rsidP="00E43A05">
      <w:pPr>
        <w:spacing w:after="0" w:line="360" w:lineRule="auto"/>
        <w:ind w:left="3402"/>
        <w:jc w:val="both"/>
        <w:rPr>
          <w:rFonts w:ascii="Arial" w:hAnsi="Arial"/>
          <w:sz w:val="18"/>
          <w:szCs w:val="24"/>
        </w:rPr>
      </w:pPr>
      <w:r w:rsidRPr="00E43A05">
        <w:rPr>
          <w:rFonts w:ascii="Arial" w:hAnsi="Arial" w:cs="Arial"/>
          <w:sz w:val="18"/>
          <w:szCs w:val="24"/>
        </w:rPr>
        <w:t xml:space="preserve">III – o </w:t>
      </w:r>
      <w:r w:rsidRPr="00E43A05">
        <w:rPr>
          <w:rFonts w:ascii="Arial" w:hAnsi="Arial" w:cs="Arial"/>
          <w:b/>
          <w:sz w:val="18"/>
          <w:szCs w:val="24"/>
        </w:rPr>
        <w:t>orçamento da seguridade social</w:t>
      </w:r>
      <w:r w:rsidRPr="00E43A05">
        <w:rPr>
          <w:rFonts w:ascii="Arial" w:hAnsi="Arial" w:cs="Arial"/>
          <w:sz w:val="18"/>
          <w:szCs w:val="24"/>
        </w:rPr>
        <w:t>, abrangendo todas as entidades e órgãos a ela vinculada, da administração direta e indireta, bem como os fundos instituídos pelo Poder Público Municipal.</w:t>
      </w:r>
    </w:p>
    <w:p w:rsidR="00E43A05" w:rsidRDefault="00E43A05" w:rsidP="00E43A05">
      <w:pPr>
        <w:spacing w:after="0" w:line="360" w:lineRule="auto"/>
        <w:ind w:left="3402"/>
        <w:jc w:val="both"/>
        <w:rPr>
          <w:rFonts w:ascii="Arial" w:hAnsi="Arial" w:cs="Arial"/>
          <w:sz w:val="24"/>
          <w:szCs w:val="24"/>
        </w:rPr>
      </w:pPr>
    </w:p>
    <w:p w:rsidR="00E43A05" w:rsidRDefault="00E43A05" w:rsidP="00E43A05">
      <w:pPr>
        <w:spacing w:after="0" w:line="360" w:lineRule="auto"/>
        <w:jc w:val="both"/>
        <w:rPr>
          <w:rFonts w:ascii="Arial" w:hAnsi="Arial"/>
          <w:sz w:val="24"/>
          <w:szCs w:val="24"/>
        </w:rPr>
      </w:pPr>
      <w:r>
        <w:rPr>
          <w:rFonts w:ascii="Arial" w:hAnsi="Arial" w:cs="Arial"/>
          <w:sz w:val="24"/>
          <w:szCs w:val="24"/>
        </w:rPr>
        <w:lastRenderedPageBreak/>
        <w:tab/>
        <w:t>A Lei de Responsabilidade Fiscal também trata dos aspectos da lei orçamentária anual, estabelecendo que ele deverá ser compatível com o PPA e com a LDO – Lei de Diretrizes Orçamentárias, além de obedecer às normas previstas no art. 5º da LRF, abaixo:</w:t>
      </w:r>
    </w:p>
    <w:p w:rsidR="00E43A05" w:rsidRDefault="00E43A05" w:rsidP="00E43A05">
      <w:pPr>
        <w:spacing w:after="0" w:line="360" w:lineRule="auto"/>
        <w:jc w:val="both"/>
        <w:rPr>
          <w:rFonts w:ascii="Arial" w:hAnsi="Arial" w:cs="Arial"/>
          <w:sz w:val="24"/>
          <w:szCs w:val="24"/>
        </w:rPr>
      </w:pP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Art. 5o O projeto de lei orçamentária anual, elaborado de forma compatível com o plano plurianual, com a lei de diretrizes orçamentárias e com as normas desta Lei Complementar:</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xml:space="preserve">I - </w:t>
      </w:r>
      <w:proofErr w:type="gramStart"/>
      <w:r w:rsidRPr="00E43A05">
        <w:rPr>
          <w:rFonts w:ascii="Arial" w:hAnsi="Arial" w:cs="Arial"/>
          <w:b/>
          <w:sz w:val="20"/>
          <w:szCs w:val="24"/>
        </w:rPr>
        <w:t>conterá</w:t>
      </w:r>
      <w:proofErr w:type="gramEnd"/>
      <w:r w:rsidRPr="00E43A05">
        <w:rPr>
          <w:rFonts w:ascii="Arial" w:hAnsi="Arial" w:cs="Arial"/>
          <w:b/>
          <w:sz w:val="20"/>
          <w:szCs w:val="24"/>
        </w:rPr>
        <w:t>, em anexo, demonstrativo da compatibilidade da programação dos orçamentos com os objetivos e metas constantes do documento de que trata o § 1o do art. 4o</w:t>
      </w:r>
      <w:r w:rsidRPr="00E43A05">
        <w:rPr>
          <w:rFonts w:ascii="Arial" w:hAnsi="Arial" w:cs="Arial"/>
          <w:sz w:val="20"/>
          <w:szCs w:val="24"/>
        </w:rPr>
        <w:t>;</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xml:space="preserve">II - </w:t>
      </w:r>
      <w:proofErr w:type="gramStart"/>
      <w:r w:rsidRPr="00E43A05">
        <w:rPr>
          <w:rFonts w:ascii="Arial" w:hAnsi="Arial" w:cs="Arial"/>
          <w:sz w:val="20"/>
          <w:szCs w:val="24"/>
        </w:rPr>
        <w:t>será</w:t>
      </w:r>
      <w:proofErr w:type="gramEnd"/>
      <w:r w:rsidRPr="00E43A05">
        <w:rPr>
          <w:rFonts w:ascii="Arial" w:hAnsi="Arial" w:cs="Arial"/>
          <w:sz w:val="20"/>
          <w:szCs w:val="24"/>
        </w:rPr>
        <w:t xml:space="preserve"> acompanhado do documento a que se refere o § 6o do art. 165 da Constituição, bem como das medidas de compensação a renúncias de receita e ao aumento de despesas obrigatórias de caráter continuado;</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xml:space="preserve">III - conterá </w:t>
      </w:r>
      <w:r w:rsidRPr="00E43A05">
        <w:rPr>
          <w:rFonts w:ascii="Arial" w:hAnsi="Arial" w:cs="Arial"/>
          <w:b/>
          <w:sz w:val="20"/>
          <w:szCs w:val="24"/>
        </w:rPr>
        <w:t>reserva de contingência</w:t>
      </w:r>
      <w:r w:rsidRPr="00E43A05">
        <w:rPr>
          <w:rFonts w:ascii="Arial" w:hAnsi="Arial" w:cs="Arial"/>
          <w:sz w:val="20"/>
          <w:szCs w:val="24"/>
        </w:rPr>
        <w:t>, cuja forma de utilização e montante, definido com base na receita corrente líquida, serão estabelecidos na lei de diretrizes orçamentárias, destinada ao:</w:t>
      </w:r>
    </w:p>
    <w:p w:rsidR="00E43A05" w:rsidRPr="00E43A05" w:rsidRDefault="00E43A05" w:rsidP="00E43A05">
      <w:pPr>
        <w:spacing w:after="0" w:line="360" w:lineRule="auto"/>
        <w:ind w:left="2124" w:firstLine="708"/>
        <w:jc w:val="both"/>
        <w:rPr>
          <w:rFonts w:ascii="Arial" w:hAnsi="Arial"/>
          <w:sz w:val="20"/>
          <w:szCs w:val="24"/>
        </w:rPr>
      </w:pPr>
      <w:proofErr w:type="gramStart"/>
      <w:r w:rsidRPr="00E43A05">
        <w:rPr>
          <w:rFonts w:ascii="Arial" w:hAnsi="Arial" w:cs="Arial"/>
          <w:sz w:val="20"/>
          <w:szCs w:val="24"/>
        </w:rPr>
        <w:t>a)  (</w:t>
      </w:r>
      <w:proofErr w:type="gramEnd"/>
      <w:r w:rsidRPr="00E43A05">
        <w:rPr>
          <w:rFonts w:ascii="Arial" w:hAnsi="Arial" w:cs="Arial"/>
          <w:sz w:val="20"/>
          <w:szCs w:val="24"/>
        </w:rPr>
        <w:t>VETADO)</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b) atendimento de passivos contingentes e outros riscos e eventos fiscais imprevistos.</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1o Todas as despesas relativas à dívida pública, mobiliária ou contratual, e as receitas que as atenderão, constarão da lei orçamentária anual.</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2o O refinanciamento da dívida pública constará separadamente na lei orçamentária e nas de crédito adicional.</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3o A atualização monetária do principal da dívida mobiliária refinanciada não poderá superar a variação do índice de preços previsto na lei de diretrizes orçamentárias, ou em legislação específica.</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4o É vedado consignar na lei orçamentária crédito com finalidade imprecisa ou com dotação ilimitada.</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xml:space="preserve"> § 5o A lei orçamentária não consignará dotação para investimento com duração superior a um exercício financeiro que não esteja previsto no plano plurianual ou em lei que autorize a sua inclusão, conforme disposto no § 1o do art. 167 da Constituição.</w:t>
      </w:r>
    </w:p>
    <w:p w:rsidR="00E43A05" w:rsidRPr="00E43A05" w:rsidRDefault="00E43A05" w:rsidP="00E43A05">
      <w:pPr>
        <w:spacing w:after="0" w:line="360" w:lineRule="auto"/>
        <w:ind w:left="2835"/>
        <w:jc w:val="both"/>
        <w:rPr>
          <w:rFonts w:ascii="Arial" w:hAnsi="Arial"/>
          <w:sz w:val="20"/>
          <w:szCs w:val="24"/>
        </w:rPr>
      </w:pPr>
      <w:r w:rsidRPr="00E43A05">
        <w:rPr>
          <w:rFonts w:ascii="Arial" w:hAnsi="Arial" w:cs="Arial"/>
          <w:sz w:val="20"/>
          <w:szCs w:val="24"/>
        </w:rPr>
        <w:t xml:space="preserve">§ 6o Integrarão as despesas da União, e serão incluídas na lei orçamentária, as do Banco Central do Brasil relativas a pessoal e </w:t>
      </w:r>
      <w:r w:rsidRPr="00E43A05">
        <w:rPr>
          <w:rFonts w:ascii="Arial" w:hAnsi="Arial" w:cs="Arial"/>
          <w:sz w:val="20"/>
          <w:szCs w:val="24"/>
        </w:rPr>
        <w:lastRenderedPageBreak/>
        <w:t>encargos sociais, custeio administrativo, inclusive os destinados a benefícios e assistência aos servidores, e a investimentos.</w:t>
      </w:r>
    </w:p>
    <w:p w:rsidR="00E43A05" w:rsidRDefault="00E43A05" w:rsidP="00E43A05">
      <w:pPr>
        <w:spacing w:after="0" w:line="360" w:lineRule="auto"/>
        <w:jc w:val="both"/>
        <w:rPr>
          <w:rFonts w:ascii="Arial" w:hAnsi="Arial" w:cs="Arial"/>
          <w:b/>
          <w:sz w:val="24"/>
          <w:szCs w:val="24"/>
        </w:rPr>
      </w:pPr>
    </w:p>
    <w:p w:rsidR="00E43A05" w:rsidRDefault="00E43A05" w:rsidP="00E43A05">
      <w:pPr>
        <w:spacing w:after="0" w:line="360" w:lineRule="auto"/>
        <w:jc w:val="both"/>
        <w:rPr>
          <w:rFonts w:ascii="Arial" w:hAnsi="Arial"/>
          <w:sz w:val="24"/>
          <w:szCs w:val="24"/>
        </w:rPr>
      </w:pPr>
      <w:r>
        <w:rPr>
          <w:rFonts w:ascii="Arial" w:hAnsi="Arial" w:cs="Arial"/>
          <w:b/>
          <w:sz w:val="24"/>
          <w:szCs w:val="24"/>
        </w:rPr>
        <w:tab/>
      </w:r>
      <w:r>
        <w:rPr>
          <w:rFonts w:ascii="Arial" w:hAnsi="Arial" w:cs="Arial"/>
          <w:sz w:val="24"/>
          <w:szCs w:val="24"/>
        </w:rPr>
        <w:t xml:space="preserve">Cabe ressaltar que é responsabilidade do Chefe do Executivo Municipal o cuidado e o zelo pelo envio de todas as informações exigidas por lei, </w:t>
      </w:r>
      <w:r>
        <w:rPr>
          <w:rFonts w:ascii="Arial" w:hAnsi="Arial" w:cs="Arial"/>
          <w:b/>
          <w:sz w:val="24"/>
          <w:szCs w:val="24"/>
        </w:rPr>
        <w:t>sob pena de responsabilização nos termos da LRF.</w:t>
      </w:r>
    </w:p>
    <w:p w:rsidR="00E43A05" w:rsidRDefault="00E43A05" w:rsidP="00E43A05">
      <w:pPr>
        <w:spacing w:after="0" w:line="360" w:lineRule="auto"/>
        <w:jc w:val="both"/>
        <w:rPr>
          <w:rFonts w:ascii="Arial" w:hAnsi="Arial"/>
          <w:sz w:val="24"/>
          <w:szCs w:val="24"/>
        </w:rPr>
      </w:pPr>
      <w:r>
        <w:rPr>
          <w:rFonts w:ascii="Arial" w:hAnsi="Arial" w:cs="Arial"/>
          <w:sz w:val="24"/>
          <w:szCs w:val="24"/>
        </w:rPr>
        <w:tab/>
        <w:t xml:space="preserve">De acordo com o PL nº </w:t>
      </w:r>
      <w:r>
        <w:rPr>
          <w:rFonts w:ascii="Arial" w:hAnsi="Arial" w:cs="Arial"/>
          <w:sz w:val="24"/>
          <w:szCs w:val="24"/>
        </w:rPr>
        <w:t>35/2025</w:t>
      </w:r>
      <w:r>
        <w:rPr>
          <w:rFonts w:ascii="Arial" w:hAnsi="Arial" w:cs="Arial"/>
          <w:sz w:val="24"/>
          <w:szCs w:val="24"/>
        </w:rPr>
        <w:t xml:space="preserve"> enviado à Câmara Municipal, aparentemente, todas as exigências da legislação aplicável foram observadas, sendo enviado tanto o corpo do Projeto de Lei Orçamentária Anual, quanto diversos anexos. </w:t>
      </w:r>
    </w:p>
    <w:p w:rsidR="00E43A05" w:rsidRDefault="00E43A05" w:rsidP="00E43A05">
      <w:pPr>
        <w:spacing w:after="0" w:line="360" w:lineRule="auto"/>
        <w:ind w:right="283" w:firstLine="708"/>
        <w:jc w:val="both"/>
        <w:rPr>
          <w:rFonts w:ascii="Arial" w:hAnsi="Arial"/>
          <w:sz w:val="24"/>
          <w:szCs w:val="24"/>
        </w:rPr>
      </w:pPr>
      <w:r>
        <w:rPr>
          <w:rFonts w:ascii="Arial" w:hAnsi="Arial" w:cs="Arial"/>
          <w:sz w:val="24"/>
          <w:szCs w:val="24"/>
        </w:rPr>
        <w:t xml:space="preserve">No entanto, é importante ressaltar que a especialidade dessa Assessora Jurídica é do ramo do Direito, não possuindo esta competência técnica para analisar questões contábeis e fiscais, por não se inserir em seu campo de estudo e formação. </w:t>
      </w:r>
    </w:p>
    <w:p w:rsidR="00E43A05" w:rsidRDefault="00E43A05" w:rsidP="00E43A05">
      <w:pPr>
        <w:spacing w:after="0" w:line="360" w:lineRule="auto"/>
        <w:ind w:right="283" w:firstLine="708"/>
        <w:jc w:val="both"/>
        <w:rPr>
          <w:rFonts w:ascii="Arial" w:hAnsi="Arial"/>
          <w:sz w:val="24"/>
          <w:szCs w:val="24"/>
        </w:rPr>
      </w:pPr>
      <w:r>
        <w:rPr>
          <w:rFonts w:ascii="Arial" w:hAnsi="Arial" w:cs="Arial"/>
          <w:sz w:val="24"/>
          <w:szCs w:val="24"/>
        </w:rPr>
        <w:t xml:space="preserve">Desta forma, abaixo será realizada uma análise de tudo o que compõe o respectivo Projeto de Lei nº </w:t>
      </w:r>
      <w:r>
        <w:rPr>
          <w:rFonts w:ascii="Arial" w:hAnsi="Arial" w:cs="Arial"/>
          <w:sz w:val="24"/>
          <w:szCs w:val="24"/>
        </w:rPr>
        <w:t>35/2025</w:t>
      </w:r>
      <w:r>
        <w:rPr>
          <w:rFonts w:ascii="Arial" w:hAnsi="Arial" w:cs="Arial"/>
          <w:sz w:val="24"/>
          <w:szCs w:val="24"/>
        </w:rPr>
        <w:t xml:space="preserve">, para que se possa ajudar os vereadores a analisarem o mérito da LOA, no entanto, esta assessoria </w:t>
      </w:r>
      <w:r>
        <w:rPr>
          <w:rFonts w:ascii="Arial" w:hAnsi="Arial" w:cs="Arial"/>
          <w:b/>
          <w:bCs/>
          <w:sz w:val="24"/>
          <w:szCs w:val="24"/>
        </w:rPr>
        <w:t xml:space="preserve">RECOMENDA </w:t>
      </w:r>
      <w:r>
        <w:rPr>
          <w:rFonts w:ascii="Arial" w:hAnsi="Arial" w:cs="Arial"/>
          <w:sz w:val="24"/>
          <w:szCs w:val="24"/>
        </w:rPr>
        <w:t xml:space="preserve">ao Presidente da Câmara, que antes da Leitura do Projeto de Lei em plenário solicite análise do setor contábil desta Casa com o fim de verificar a regularidade destes. </w:t>
      </w:r>
    </w:p>
    <w:p w:rsidR="00E43A05" w:rsidRDefault="00E43A05" w:rsidP="00E43A05">
      <w:pPr>
        <w:spacing w:after="0" w:line="360" w:lineRule="auto"/>
        <w:ind w:right="283" w:firstLine="708"/>
        <w:jc w:val="both"/>
        <w:rPr>
          <w:rFonts w:cs="Arial"/>
        </w:rPr>
      </w:pPr>
    </w:p>
    <w:p w:rsidR="00E43A05" w:rsidRDefault="00E43A05" w:rsidP="00E43A05">
      <w:pPr>
        <w:spacing w:after="0" w:line="360" w:lineRule="auto"/>
        <w:jc w:val="both"/>
        <w:rPr>
          <w:rFonts w:ascii="Arial" w:hAnsi="Arial"/>
          <w:sz w:val="24"/>
          <w:szCs w:val="24"/>
        </w:rPr>
      </w:pPr>
      <w:r>
        <w:rPr>
          <w:rFonts w:ascii="Arial" w:hAnsi="Arial" w:cs="Arial"/>
          <w:b/>
          <w:sz w:val="24"/>
          <w:szCs w:val="24"/>
        </w:rPr>
        <w:t xml:space="preserve">a) Corpo do Projeto de Lei nº </w:t>
      </w:r>
      <w:r>
        <w:rPr>
          <w:rFonts w:ascii="Arial" w:hAnsi="Arial" w:cs="Arial"/>
          <w:b/>
          <w:sz w:val="24"/>
          <w:szCs w:val="24"/>
        </w:rPr>
        <w:t>35/2025</w:t>
      </w:r>
    </w:p>
    <w:p w:rsidR="00E43A05" w:rsidRDefault="00E43A05" w:rsidP="00E43A05">
      <w:pPr>
        <w:spacing w:after="0" w:line="360" w:lineRule="auto"/>
        <w:jc w:val="both"/>
        <w:rPr>
          <w:rFonts w:cs="Arial"/>
          <w:b/>
        </w:rPr>
      </w:pPr>
    </w:p>
    <w:p w:rsidR="00E43A05" w:rsidRDefault="00E43A05" w:rsidP="00E43A05">
      <w:pPr>
        <w:spacing w:after="0" w:line="360" w:lineRule="auto"/>
        <w:jc w:val="both"/>
        <w:rPr>
          <w:rFonts w:ascii="Arial" w:hAnsi="Arial"/>
          <w:sz w:val="24"/>
          <w:szCs w:val="24"/>
        </w:rPr>
      </w:pPr>
      <w:r>
        <w:rPr>
          <w:rFonts w:ascii="Arial" w:hAnsi="Arial" w:cs="Arial"/>
          <w:b/>
          <w:sz w:val="24"/>
          <w:szCs w:val="24"/>
        </w:rPr>
        <w:tab/>
      </w:r>
      <w:r>
        <w:rPr>
          <w:rFonts w:ascii="Arial" w:hAnsi="Arial" w:cs="Arial"/>
          <w:sz w:val="24"/>
          <w:szCs w:val="24"/>
        </w:rPr>
        <w:t>O corpo do referido Projeto de Lei é dividido em 4 títulos, tratando esses respectivamente de ‘</w:t>
      </w:r>
      <w:r>
        <w:rPr>
          <w:rFonts w:ascii="Arial" w:hAnsi="Arial" w:cs="Arial"/>
          <w:b/>
          <w:sz w:val="24"/>
          <w:szCs w:val="24"/>
        </w:rPr>
        <w:t xml:space="preserve">Disposições Comuns’, ‘Orçamento Fiscal e da Seguridade Social’, </w:t>
      </w:r>
      <w:r>
        <w:rPr>
          <w:rFonts w:ascii="Arial" w:hAnsi="Arial" w:cs="Arial"/>
          <w:b/>
          <w:sz w:val="24"/>
          <w:szCs w:val="24"/>
        </w:rPr>
        <w:t xml:space="preserve">‘Autorização para abertura de créditos suplementares’, </w:t>
      </w:r>
      <w:r>
        <w:rPr>
          <w:rFonts w:ascii="Arial" w:hAnsi="Arial" w:cs="Arial"/>
          <w:b/>
          <w:sz w:val="24"/>
          <w:szCs w:val="24"/>
        </w:rPr>
        <w:t xml:space="preserve">‘Disposições Gerais’ e ‘Disposições Finais’. </w:t>
      </w:r>
    </w:p>
    <w:p w:rsidR="00E43A05" w:rsidRDefault="00E43A05" w:rsidP="00E43A05">
      <w:pPr>
        <w:spacing w:after="0" w:line="360" w:lineRule="auto"/>
        <w:jc w:val="both"/>
        <w:rPr>
          <w:rFonts w:ascii="Arial" w:hAnsi="Arial"/>
          <w:sz w:val="24"/>
          <w:szCs w:val="24"/>
        </w:rPr>
      </w:pPr>
      <w:r>
        <w:rPr>
          <w:rFonts w:ascii="Arial" w:hAnsi="Arial" w:cs="Arial"/>
          <w:b/>
          <w:sz w:val="24"/>
          <w:szCs w:val="24"/>
        </w:rPr>
        <w:tab/>
      </w:r>
      <w:r>
        <w:rPr>
          <w:rFonts w:ascii="Arial" w:hAnsi="Arial" w:cs="Arial"/>
          <w:sz w:val="24"/>
          <w:szCs w:val="24"/>
        </w:rPr>
        <w:t>As previsões legais de disposições comuns, abrangem o art. 1º da Lei especifica que essas compreenderão o orçamento fiscal (art. 166, I, LOAM e art. 165, I da CF/88) e o orçamento da seguridade social (art. 166, III, LOAM e art. 165, III da CF/88).</w:t>
      </w:r>
    </w:p>
    <w:p w:rsidR="00E43A05" w:rsidRPr="00E43A05" w:rsidRDefault="00E43A05" w:rsidP="00E43A05">
      <w:pPr>
        <w:spacing w:after="0" w:line="360" w:lineRule="auto"/>
        <w:jc w:val="both"/>
        <w:rPr>
          <w:rFonts w:ascii="Arial" w:hAnsi="Arial" w:cs="Arial"/>
          <w:sz w:val="24"/>
          <w:szCs w:val="24"/>
        </w:rPr>
      </w:pPr>
      <w:r>
        <w:rPr>
          <w:rFonts w:ascii="Arial" w:hAnsi="Arial" w:cs="Arial"/>
          <w:sz w:val="24"/>
          <w:szCs w:val="24"/>
        </w:rPr>
        <w:tab/>
      </w:r>
      <w:r w:rsidRPr="00E43A05">
        <w:rPr>
          <w:rFonts w:ascii="Arial" w:hAnsi="Arial" w:cs="Arial"/>
          <w:sz w:val="24"/>
          <w:szCs w:val="24"/>
        </w:rPr>
        <w:t xml:space="preserve">Em relação ao título II – Orçamento Fiscal e da Seguridade Social, o Poder Executivo estimou o Orçamento Geral do Município de Duas Barras - RJ, para o exercício financeiro de 2025 incluindo as Administrações Diretas, Indiretas e Poder Legislativo em </w:t>
      </w:r>
      <w:r w:rsidRPr="00E43A05">
        <w:rPr>
          <w:rStyle w:val="Forte"/>
          <w:rFonts w:ascii="Arial" w:hAnsi="Arial" w:cs="Arial"/>
          <w:sz w:val="24"/>
          <w:szCs w:val="24"/>
        </w:rPr>
        <w:t>R$ 108.630.000,00 (cento e oito milhões, seiscentos e trinta mil reais)</w:t>
      </w:r>
      <w:r w:rsidRPr="00E43A05">
        <w:rPr>
          <w:rFonts w:ascii="Arial" w:hAnsi="Arial" w:cs="Arial"/>
          <w:sz w:val="24"/>
          <w:szCs w:val="24"/>
        </w:rPr>
        <w:t xml:space="preserve">, um aumento de aproximadamente </w:t>
      </w:r>
      <w:r w:rsidRPr="00E43A05">
        <w:rPr>
          <w:rStyle w:val="Forte"/>
          <w:rFonts w:ascii="Arial" w:hAnsi="Arial" w:cs="Arial"/>
          <w:sz w:val="24"/>
          <w:szCs w:val="24"/>
        </w:rPr>
        <w:t>18,52%</w:t>
      </w:r>
      <w:r w:rsidRPr="00E43A05">
        <w:rPr>
          <w:rFonts w:ascii="Arial" w:hAnsi="Arial" w:cs="Arial"/>
          <w:sz w:val="24"/>
          <w:szCs w:val="24"/>
        </w:rPr>
        <w:t xml:space="preserve"> em relação ao fixado na LOA 2025, </w:t>
      </w:r>
      <w:r w:rsidRPr="00E43A05">
        <w:rPr>
          <w:rFonts w:ascii="Arial" w:hAnsi="Arial" w:cs="Arial"/>
          <w:sz w:val="24"/>
          <w:szCs w:val="24"/>
        </w:rPr>
        <w:lastRenderedPageBreak/>
        <w:t xml:space="preserve">que foi </w:t>
      </w:r>
      <w:r w:rsidRPr="00E43A05">
        <w:rPr>
          <w:rStyle w:val="Forte"/>
          <w:rFonts w:ascii="Arial" w:hAnsi="Arial" w:cs="Arial"/>
          <w:sz w:val="24"/>
          <w:szCs w:val="24"/>
        </w:rPr>
        <w:t>R$ 91.658.000,00 (noventa e um milhões, seiscentos e cinquenta e oito mil reais)</w:t>
      </w:r>
      <w:r w:rsidRPr="00E43A05">
        <w:rPr>
          <w:rFonts w:ascii="Arial" w:hAnsi="Arial" w:cs="Arial"/>
          <w:sz w:val="24"/>
          <w:szCs w:val="24"/>
        </w:rPr>
        <w:t>.</w:t>
      </w:r>
    </w:p>
    <w:p w:rsidR="00E43A05" w:rsidRDefault="00E43A05" w:rsidP="00E43A05">
      <w:pPr>
        <w:spacing w:after="0" w:line="360" w:lineRule="auto"/>
        <w:jc w:val="both"/>
        <w:rPr>
          <w:rFonts w:ascii="Arial" w:hAnsi="Arial"/>
          <w:sz w:val="24"/>
          <w:szCs w:val="24"/>
        </w:rPr>
      </w:pPr>
      <w:r>
        <w:rPr>
          <w:rFonts w:ascii="Arial" w:hAnsi="Arial" w:cs="Arial"/>
          <w:sz w:val="24"/>
          <w:szCs w:val="24"/>
        </w:rPr>
        <w:tab/>
        <w:t xml:space="preserve">Ressalta-se que no anexo I do referido PL estão as receitas estimadas por categoria e recursos de todas as fontes, além do anexo II que prevê a estimativa de receita total com detalhamento por categoria e subcategorias econômicas. O anexo III prevê as despesas por função e o anexo IV as despesas por poderes e órgãos. </w:t>
      </w:r>
    </w:p>
    <w:p w:rsidR="00E43A05" w:rsidRDefault="00E43A05" w:rsidP="00E43A05">
      <w:pPr>
        <w:spacing w:after="0" w:line="360" w:lineRule="auto"/>
        <w:ind w:firstLine="708"/>
        <w:jc w:val="both"/>
        <w:rPr>
          <w:rFonts w:ascii="Arial" w:hAnsi="Arial"/>
          <w:sz w:val="24"/>
          <w:szCs w:val="24"/>
        </w:rPr>
      </w:pPr>
      <w:r>
        <w:rPr>
          <w:rFonts w:ascii="Arial" w:hAnsi="Arial" w:cs="Arial"/>
          <w:sz w:val="24"/>
          <w:szCs w:val="24"/>
        </w:rPr>
        <w:t xml:space="preserve">Além disso, foi reafirmado que os recursos previstos para investimentos em fase de execução, observados os critérios estabelecidos da Lei de Diretrizes Orçamentárias, conforme aprovado anteriormente pela Câmara Municipal, conforme art. 6º do corpo do projeto de Lei. </w:t>
      </w:r>
    </w:p>
    <w:p w:rsidR="00E43A05" w:rsidRDefault="00E43A05" w:rsidP="00E43A05">
      <w:pPr>
        <w:spacing w:after="0" w:line="360" w:lineRule="auto"/>
        <w:jc w:val="both"/>
        <w:rPr>
          <w:rFonts w:ascii="Arial" w:hAnsi="Arial" w:cs="Arial"/>
          <w:sz w:val="24"/>
          <w:szCs w:val="24"/>
        </w:rPr>
      </w:pPr>
      <w:r>
        <w:rPr>
          <w:rFonts w:ascii="Arial" w:hAnsi="Arial" w:cs="Arial"/>
          <w:sz w:val="24"/>
          <w:szCs w:val="24"/>
        </w:rPr>
        <w:tab/>
        <w:t xml:space="preserve">Além disso, no projeto de lei de orçamento de </w:t>
      </w:r>
      <w:r w:rsidR="007A15E9">
        <w:rPr>
          <w:rFonts w:ascii="Arial" w:hAnsi="Arial" w:cs="Arial"/>
          <w:sz w:val="24"/>
          <w:szCs w:val="24"/>
        </w:rPr>
        <w:t>2026</w:t>
      </w:r>
      <w:r>
        <w:rPr>
          <w:rFonts w:ascii="Arial" w:hAnsi="Arial" w:cs="Arial"/>
          <w:sz w:val="24"/>
          <w:szCs w:val="24"/>
        </w:rPr>
        <w:t>, foi previsto a hipótese de autorização para abertura de crédito, ficando o Poder Executivo autorizada a abrir créditos suplementares, sem necessidade de prévia autorização da Câmara Municipal de Duas Barras, no mon</w:t>
      </w:r>
      <w:r w:rsidR="007A15E9">
        <w:rPr>
          <w:rFonts w:ascii="Arial" w:hAnsi="Arial" w:cs="Arial"/>
          <w:sz w:val="24"/>
          <w:szCs w:val="24"/>
        </w:rPr>
        <w:t>tante de 4</w:t>
      </w:r>
      <w:r>
        <w:rPr>
          <w:rFonts w:ascii="Arial" w:hAnsi="Arial" w:cs="Arial"/>
          <w:sz w:val="24"/>
          <w:szCs w:val="24"/>
        </w:rPr>
        <w:t xml:space="preserve">0% do valor total do orçamento fiscal e da seguridade social, onde o poderá o Executivo Municipal: </w:t>
      </w:r>
      <w:r>
        <w:rPr>
          <w:rFonts w:ascii="Arial" w:hAnsi="Arial" w:cs="Arial"/>
          <w:b/>
          <w:sz w:val="24"/>
          <w:szCs w:val="24"/>
        </w:rPr>
        <w:t>(a)</w:t>
      </w:r>
      <w:r>
        <w:rPr>
          <w:rFonts w:ascii="Arial" w:hAnsi="Arial" w:cs="Arial"/>
          <w:sz w:val="24"/>
          <w:szCs w:val="24"/>
        </w:rPr>
        <w:t xml:space="preserve"> anular, total ou parcialmente dotações; </w:t>
      </w:r>
      <w:r>
        <w:rPr>
          <w:rFonts w:ascii="Arial" w:hAnsi="Arial" w:cs="Arial"/>
          <w:b/>
          <w:sz w:val="24"/>
          <w:szCs w:val="24"/>
        </w:rPr>
        <w:t>(b)</w:t>
      </w:r>
      <w:r>
        <w:rPr>
          <w:rFonts w:ascii="Arial" w:hAnsi="Arial" w:cs="Arial"/>
          <w:sz w:val="24"/>
          <w:szCs w:val="24"/>
        </w:rPr>
        <w:t xml:space="preserve"> incorporação de superávit e/ou saldo financeiro disponível do exercício anterior, efetivamente apurado em balanço; </w:t>
      </w:r>
      <w:r>
        <w:rPr>
          <w:rFonts w:ascii="Arial" w:hAnsi="Arial" w:cs="Arial"/>
          <w:b/>
          <w:sz w:val="24"/>
          <w:szCs w:val="24"/>
        </w:rPr>
        <w:t>(c)</w:t>
      </w:r>
      <w:r>
        <w:rPr>
          <w:rFonts w:ascii="Arial" w:hAnsi="Arial" w:cs="Arial"/>
          <w:sz w:val="24"/>
          <w:szCs w:val="24"/>
        </w:rPr>
        <w:t xml:space="preserve"> excesso de arrecadação em bases constantes. </w:t>
      </w:r>
    </w:p>
    <w:p w:rsidR="00E43A05" w:rsidRPr="007A15E9" w:rsidRDefault="00E43A05" w:rsidP="007A15E9">
      <w:pPr>
        <w:spacing w:after="0" w:line="360" w:lineRule="auto"/>
        <w:jc w:val="both"/>
        <w:rPr>
          <w:rFonts w:ascii="Arial" w:hAnsi="Arial" w:cs="Arial"/>
          <w:sz w:val="24"/>
          <w:szCs w:val="24"/>
        </w:rPr>
      </w:pPr>
      <w:r>
        <w:rPr>
          <w:rFonts w:ascii="Arial" w:hAnsi="Arial" w:cs="Arial"/>
          <w:sz w:val="24"/>
          <w:szCs w:val="24"/>
        </w:rPr>
        <w:tab/>
      </w:r>
      <w:r w:rsidR="007A15E9">
        <w:rPr>
          <w:rFonts w:ascii="Arial" w:hAnsi="Arial" w:cs="Arial"/>
          <w:sz w:val="24"/>
          <w:szCs w:val="24"/>
        </w:rPr>
        <w:t>Importante salientar que o percentual solicitado é 10% menos do que o fixado ant</w:t>
      </w:r>
      <w:r w:rsidR="007A15E9" w:rsidRPr="007A15E9">
        <w:rPr>
          <w:rFonts w:ascii="Arial" w:hAnsi="Arial" w:cs="Arial"/>
          <w:sz w:val="24"/>
          <w:szCs w:val="24"/>
        </w:rPr>
        <w:t xml:space="preserve">eriormente na LOA de 2025. </w:t>
      </w:r>
    </w:p>
    <w:p w:rsidR="007A15E9" w:rsidRPr="007A15E9" w:rsidRDefault="007A15E9" w:rsidP="007A15E9">
      <w:pPr>
        <w:spacing w:after="0" w:line="360" w:lineRule="auto"/>
        <w:jc w:val="both"/>
        <w:rPr>
          <w:rFonts w:ascii="Arial" w:eastAsia="Times New Roman" w:hAnsi="Arial" w:cs="Arial"/>
          <w:sz w:val="24"/>
          <w:szCs w:val="24"/>
          <w:lang w:eastAsia="pt-BR"/>
        </w:rPr>
      </w:pPr>
      <w:r w:rsidRPr="007A15E9">
        <w:rPr>
          <w:rFonts w:ascii="Arial" w:hAnsi="Arial" w:cs="Arial"/>
          <w:sz w:val="24"/>
          <w:szCs w:val="24"/>
        </w:rPr>
        <w:tab/>
        <w:t>Por fim, o capítulo IV – Das Disposições Gerais, a</w:t>
      </w:r>
      <w:r w:rsidRPr="007A15E9">
        <w:rPr>
          <w:rFonts w:ascii="Arial" w:eastAsia="Times New Roman" w:hAnsi="Arial" w:cs="Arial"/>
          <w:sz w:val="24"/>
          <w:szCs w:val="24"/>
          <w:lang w:eastAsia="pt-BR"/>
        </w:rPr>
        <w:t>utoriza o Poder Executivo a adotar parâmetros para o uso das dotações orçamentárias, de forma a compatibilizar despesas com a efetiva realização das receitas e busca assegurar o equilíbrio da execução orçamentária e financeira, além de garantir o cumprimento das metas de resultado primário.</w:t>
      </w:r>
    </w:p>
    <w:p w:rsidR="007A15E9" w:rsidRPr="007A15E9" w:rsidRDefault="007A15E9" w:rsidP="007A15E9">
      <w:pPr>
        <w:tabs>
          <w:tab w:val="left" w:pos="708"/>
          <w:tab w:val="left" w:pos="1416"/>
          <w:tab w:val="left" w:pos="2124"/>
          <w:tab w:val="left" w:pos="2832"/>
          <w:tab w:val="left" w:pos="3540"/>
          <w:tab w:val="left" w:pos="4248"/>
          <w:tab w:val="left" w:pos="4956"/>
          <w:tab w:val="left" w:pos="6323"/>
        </w:tabs>
        <w:spacing w:after="0" w:line="360" w:lineRule="auto"/>
        <w:jc w:val="both"/>
        <w:rPr>
          <w:rFonts w:ascii="Arial" w:eastAsia="Times New Roman" w:hAnsi="Arial" w:cs="Arial"/>
          <w:bCs/>
          <w:sz w:val="24"/>
          <w:szCs w:val="24"/>
          <w:lang w:eastAsia="pt-BR"/>
        </w:rPr>
      </w:pPr>
      <w:r w:rsidRPr="007A15E9">
        <w:rPr>
          <w:rFonts w:ascii="Arial" w:eastAsia="Times New Roman" w:hAnsi="Arial" w:cs="Arial"/>
          <w:sz w:val="24"/>
          <w:szCs w:val="24"/>
          <w:lang w:eastAsia="pt-BR"/>
        </w:rPr>
        <w:tab/>
        <w:t>E o c</w:t>
      </w:r>
      <w:r w:rsidRPr="007A15E9">
        <w:rPr>
          <w:rFonts w:ascii="Arial" w:eastAsia="Times New Roman" w:hAnsi="Arial" w:cs="Arial"/>
          <w:bCs/>
          <w:sz w:val="24"/>
          <w:szCs w:val="24"/>
          <w:lang w:eastAsia="pt-BR"/>
        </w:rPr>
        <w:t xml:space="preserve">apítulo V – Das Disposições Finais, traz as previsões de 4 artigos, contendo o seguinte: </w:t>
      </w:r>
    </w:p>
    <w:p w:rsidR="007A15E9" w:rsidRPr="007A15E9" w:rsidRDefault="007A15E9" w:rsidP="007A15E9">
      <w:pPr>
        <w:numPr>
          <w:ilvl w:val="0"/>
          <w:numId w:val="23"/>
        </w:numPr>
        <w:suppressAutoHyphens w:val="0"/>
        <w:spacing w:before="100" w:beforeAutospacing="1" w:after="100" w:afterAutospacing="1" w:line="360" w:lineRule="auto"/>
        <w:ind w:left="714" w:hanging="357"/>
        <w:jc w:val="both"/>
        <w:rPr>
          <w:rFonts w:ascii="Arial" w:eastAsia="Times New Roman" w:hAnsi="Arial" w:cs="Arial"/>
          <w:sz w:val="24"/>
          <w:szCs w:val="24"/>
          <w:lang w:eastAsia="pt-BR"/>
        </w:rPr>
      </w:pPr>
      <w:r w:rsidRPr="007A15E9">
        <w:rPr>
          <w:rFonts w:ascii="Arial" w:eastAsia="Times New Roman" w:hAnsi="Arial" w:cs="Arial"/>
          <w:b/>
          <w:bCs/>
          <w:sz w:val="24"/>
          <w:szCs w:val="24"/>
          <w:lang w:eastAsia="pt-BR"/>
        </w:rPr>
        <w:t>Art. 8º:</w:t>
      </w:r>
      <w:r w:rsidRPr="007A15E9">
        <w:rPr>
          <w:rFonts w:ascii="Arial" w:eastAsia="Times New Roman" w:hAnsi="Arial" w:cs="Arial"/>
          <w:sz w:val="24"/>
          <w:szCs w:val="24"/>
          <w:lang w:eastAsia="pt-BR"/>
        </w:rPr>
        <w:t xml:space="preserve"> Autoriza o Poder Executivo a remanejar e transferir dotações decorrentes de alterações na estrutura administrativa, desde que sem aumento de despesa prevista.</w:t>
      </w:r>
    </w:p>
    <w:p w:rsidR="007A15E9" w:rsidRPr="007A15E9" w:rsidRDefault="007A15E9" w:rsidP="007A15E9">
      <w:pPr>
        <w:numPr>
          <w:ilvl w:val="0"/>
          <w:numId w:val="23"/>
        </w:numPr>
        <w:suppressAutoHyphens w:val="0"/>
        <w:spacing w:before="100" w:beforeAutospacing="1" w:after="100" w:afterAutospacing="1" w:line="360" w:lineRule="auto"/>
        <w:ind w:left="714" w:hanging="357"/>
        <w:jc w:val="both"/>
        <w:rPr>
          <w:rFonts w:ascii="Arial" w:eastAsia="Times New Roman" w:hAnsi="Arial" w:cs="Arial"/>
          <w:sz w:val="24"/>
          <w:szCs w:val="24"/>
          <w:lang w:eastAsia="pt-BR"/>
        </w:rPr>
      </w:pPr>
      <w:r w:rsidRPr="007A15E9">
        <w:rPr>
          <w:rFonts w:ascii="Arial" w:eastAsia="Times New Roman" w:hAnsi="Arial" w:cs="Arial"/>
          <w:b/>
          <w:bCs/>
          <w:sz w:val="24"/>
          <w:szCs w:val="24"/>
          <w:lang w:eastAsia="pt-BR"/>
        </w:rPr>
        <w:lastRenderedPageBreak/>
        <w:t>Art. 9º:</w:t>
      </w:r>
      <w:r w:rsidRPr="007A15E9">
        <w:rPr>
          <w:rFonts w:ascii="Arial" w:eastAsia="Times New Roman" w:hAnsi="Arial" w:cs="Arial"/>
          <w:sz w:val="24"/>
          <w:szCs w:val="24"/>
          <w:lang w:eastAsia="pt-BR"/>
        </w:rPr>
        <w:t xml:space="preserve"> Determina que o desdobramento da Receita e da Despesa em Metas Bimestrais para atender à Programação Financeira de 2026 deve ser publicado em até 30 dias após a publicação da LOA, em conformidade com a LRF.</w:t>
      </w:r>
    </w:p>
    <w:p w:rsidR="007A15E9" w:rsidRPr="007A15E9" w:rsidRDefault="007A15E9" w:rsidP="007A15E9">
      <w:pPr>
        <w:numPr>
          <w:ilvl w:val="0"/>
          <w:numId w:val="23"/>
        </w:numPr>
        <w:suppressAutoHyphens w:val="0"/>
        <w:spacing w:before="100" w:beforeAutospacing="1" w:after="100" w:afterAutospacing="1" w:line="360" w:lineRule="auto"/>
        <w:ind w:left="714" w:hanging="357"/>
        <w:jc w:val="both"/>
        <w:rPr>
          <w:rFonts w:ascii="Arial" w:eastAsia="Times New Roman" w:hAnsi="Arial" w:cs="Arial"/>
          <w:sz w:val="24"/>
          <w:szCs w:val="24"/>
          <w:lang w:eastAsia="pt-BR"/>
        </w:rPr>
      </w:pPr>
      <w:r w:rsidRPr="007A15E9">
        <w:rPr>
          <w:rFonts w:ascii="Arial" w:eastAsia="Times New Roman" w:hAnsi="Arial" w:cs="Arial"/>
          <w:b/>
          <w:bCs/>
          <w:sz w:val="24"/>
          <w:szCs w:val="24"/>
          <w:lang w:eastAsia="pt-BR"/>
        </w:rPr>
        <w:t>Art. 10:</w:t>
      </w:r>
      <w:r w:rsidRPr="007A15E9">
        <w:rPr>
          <w:rFonts w:ascii="Arial" w:eastAsia="Times New Roman" w:hAnsi="Arial" w:cs="Arial"/>
          <w:sz w:val="24"/>
          <w:szCs w:val="24"/>
          <w:lang w:eastAsia="pt-BR"/>
        </w:rPr>
        <w:t xml:space="preserve"> Aprova os anexos que acompanham a Lei Orçamentária.</w:t>
      </w:r>
    </w:p>
    <w:p w:rsidR="007A15E9" w:rsidRPr="007A15E9" w:rsidRDefault="007A15E9" w:rsidP="007A15E9">
      <w:pPr>
        <w:numPr>
          <w:ilvl w:val="0"/>
          <w:numId w:val="23"/>
        </w:numPr>
        <w:suppressAutoHyphens w:val="0"/>
        <w:spacing w:before="100" w:beforeAutospacing="1" w:after="100" w:afterAutospacing="1" w:line="360" w:lineRule="auto"/>
        <w:ind w:left="714" w:hanging="357"/>
        <w:jc w:val="both"/>
        <w:rPr>
          <w:rFonts w:ascii="Arial" w:eastAsia="Times New Roman" w:hAnsi="Arial" w:cs="Arial"/>
          <w:sz w:val="24"/>
          <w:szCs w:val="24"/>
          <w:lang w:eastAsia="pt-BR"/>
        </w:rPr>
      </w:pPr>
      <w:r w:rsidRPr="007A15E9">
        <w:rPr>
          <w:rFonts w:ascii="Arial" w:eastAsia="Times New Roman" w:hAnsi="Arial" w:cs="Arial"/>
          <w:b/>
          <w:bCs/>
          <w:sz w:val="24"/>
          <w:szCs w:val="24"/>
          <w:lang w:eastAsia="pt-BR"/>
        </w:rPr>
        <w:t>Art. 11:</w:t>
      </w:r>
      <w:r w:rsidRPr="007A15E9">
        <w:rPr>
          <w:rFonts w:ascii="Arial" w:eastAsia="Times New Roman" w:hAnsi="Arial" w:cs="Arial"/>
          <w:sz w:val="24"/>
          <w:szCs w:val="24"/>
          <w:lang w:eastAsia="pt-BR"/>
        </w:rPr>
        <w:t xml:space="preserve"> Estabelece que a Lei entra em vigor na data da publicação, mas com efeitos a partir de 1º de janeiro de 2026.</w:t>
      </w:r>
    </w:p>
    <w:p w:rsidR="00E43A05" w:rsidRDefault="00E43A05" w:rsidP="00E43A05">
      <w:pPr>
        <w:spacing w:after="0" w:line="360" w:lineRule="auto"/>
        <w:jc w:val="both"/>
        <w:rPr>
          <w:rFonts w:ascii="Arial" w:hAnsi="Arial"/>
          <w:sz w:val="24"/>
          <w:szCs w:val="24"/>
        </w:rPr>
      </w:pPr>
      <w:r>
        <w:rPr>
          <w:rFonts w:ascii="Arial" w:eastAsia="Batang" w:hAnsi="Arial" w:cs="Arial"/>
          <w:b/>
          <w:sz w:val="24"/>
          <w:szCs w:val="24"/>
        </w:rPr>
        <w:t>b) Anexos I, II, III e IV do PL 0</w:t>
      </w:r>
      <w:r>
        <w:rPr>
          <w:rFonts w:ascii="Arial" w:eastAsia="Batang" w:hAnsi="Arial" w:cs="Arial"/>
          <w:b/>
          <w:sz w:val="24"/>
          <w:szCs w:val="24"/>
        </w:rPr>
        <w:t>35/2025</w:t>
      </w:r>
    </w:p>
    <w:p w:rsidR="00E43A05" w:rsidRDefault="00E43A05" w:rsidP="00E43A05">
      <w:pPr>
        <w:spacing w:after="0" w:line="360" w:lineRule="auto"/>
        <w:jc w:val="both"/>
        <w:rPr>
          <w:rFonts w:eastAsia="Batang" w:cs="Arial"/>
          <w:b/>
        </w:rPr>
      </w:pPr>
    </w:p>
    <w:p w:rsidR="00E43A05" w:rsidRDefault="00E43A05" w:rsidP="00E43A05">
      <w:pPr>
        <w:spacing w:after="0" w:line="360" w:lineRule="auto"/>
        <w:ind w:firstLine="709"/>
        <w:jc w:val="both"/>
        <w:rPr>
          <w:rFonts w:ascii="Arial" w:hAnsi="Arial"/>
          <w:sz w:val="24"/>
          <w:szCs w:val="24"/>
        </w:rPr>
      </w:pPr>
      <w:r>
        <w:rPr>
          <w:rFonts w:ascii="Arial" w:eastAsia="Batang" w:hAnsi="Arial" w:cs="Arial"/>
          <w:sz w:val="24"/>
          <w:szCs w:val="24"/>
        </w:rPr>
        <w:t xml:space="preserve">Os referidos anexos trouxeram, respectivamente, a estimativa de receita total por categoria e recurso de todas as fontes; estimativa da receita total com detalhamento por categoria e subcategorias econômicas; despesa por função e ainda, despesa por poderes e órgãos. </w:t>
      </w:r>
    </w:p>
    <w:p w:rsidR="00E43A05" w:rsidRDefault="00E43A05" w:rsidP="00E43A05">
      <w:pPr>
        <w:spacing w:after="0" w:line="360" w:lineRule="auto"/>
        <w:ind w:firstLine="709"/>
        <w:jc w:val="both"/>
        <w:rPr>
          <w:rFonts w:ascii="Arial" w:hAnsi="Arial"/>
          <w:sz w:val="24"/>
          <w:szCs w:val="24"/>
        </w:rPr>
      </w:pPr>
      <w:r>
        <w:rPr>
          <w:rFonts w:ascii="Arial" w:eastAsia="Batang" w:hAnsi="Arial" w:cs="Arial"/>
          <w:sz w:val="24"/>
          <w:szCs w:val="24"/>
        </w:rPr>
        <w:t xml:space="preserve">Quando a esse ponto, a análise de valores orçamentários, entendo que cabe ao Chefe do Executivo, dentro de seu poder discricionário definir qual será o orçamento que melhor o atenderá ao longo do ano fiscal de </w:t>
      </w:r>
      <w:r w:rsidR="007A15E9">
        <w:rPr>
          <w:rFonts w:ascii="Arial" w:eastAsia="Batang" w:hAnsi="Arial" w:cs="Arial"/>
          <w:sz w:val="24"/>
          <w:szCs w:val="24"/>
        </w:rPr>
        <w:t>2026</w:t>
      </w:r>
      <w:r>
        <w:rPr>
          <w:rFonts w:ascii="Arial" w:eastAsia="Batang" w:hAnsi="Arial" w:cs="Arial"/>
          <w:sz w:val="24"/>
          <w:szCs w:val="24"/>
        </w:rPr>
        <w:t xml:space="preserve">. </w:t>
      </w:r>
    </w:p>
    <w:p w:rsidR="00E43A05" w:rsidRDefault="00E43A05" w:rsidP="00E43A05">
      <w:pPr>
        <w:spacing w:after="0" w:line="360" w:lineRule="auto"/>
        <w:ind w:firstLine="708"/>
        <w:jc w:val="both"/>
        <w:rPr>
          <w:rFonts w:eastAsia="Batang" w:cs="Arial"/>
        </w:rPr>
      </w:pPr>
    </w:p>
    <w:p w:rsidR="00E43A05" w:rsidRDefault="007A15E9" w:rsidP="00E43A05">
      <w:pPr>
        <w:spacing w:after="0" w:line="360" w:lineRule="auto"/>
        <w:jc w:val="both"/>
        <w:rPr>
          <w:rFonts w:ascii="Arial" w:hAnsi="Arial"/>
          <w:sz w:val="24"/>
          <w:szCs w:val="24"/>
        </w:rPr>
      </w:pPr>
      <w:r>
        <w:rPr>
          <w:rFonts w:ascii="Arial" w:eastAsia="Batang" w:hAnsi="Arial" w:cs="Arial"/>
          <w:b/>
          <w:sz w:val="24"/>
          <w:szCs w:val="24"/>
        </w:rPr>
        <w:t>c</w:t>
      </w:r>
      <w:r w:rsidR="00E43A05">
        <w:rPr>
          <w:rFonts w:ascii="Arial" w:eastAsia="Batang" w:hAnsi="Arial" w:cs="Arial"/>
          <w:b/>
          <w:sz w:val="24"/>
          <w:szCs w:val="24"/>
        </w:rPr>
        <w:t>) Orçamento Consolidado/Orçamento Fiscal/Orçamento da Seguridade Social</w:t>
      </w:r>
    </w:p>
    <w:p w:rsidR="00E43A05" w:rsidRDefault="00E43A05" w:rsidP="00E43A05">
      <w:pPr>
        <w:spacing w:after="0" w:line="360" w:lineRule="auto"/>
        <w:jc w:val="both"/>
        <w:rPr>
          <w:rFonts w:eastAsia="Batang" w:cs="Arial"/>
          <w:b/>
        </w:rPr>
      </w:pPr>
    </w:p>
    <w:p w:rsidR="00E43A05" w:rsidRDefault="00E43A05" w:rsidP="00E43A05">
      <w:pPr>
        <w:spacing w:after="0" w:line="360" w:lineRule="auto"/>
        <w:jc w:val="both"/>
        <w:rPr>
          <w:rFonts w:ascii="Arial" w:hAnsi="Arial"/>
          <w:sz w:val="24"/>
          <w:szCs w:val="24"/>
        </w:rPr>
      </w:pPr>
      <w:r>
        <w:rPr>
          <w:rFonts w:ascii="Arial" w:eastAsia="Batang" w:hAnsi="Arial" w:cs="Arial"/>
          <w:sz w:val="24"/>
          <w:szCs w:val="24"/>
        </w:rPr>
        <w:tab/>
        <w:t xml:space="preserve">Em relação ao anexo da Lei que trata do orçamento consolidado, tem-se toda a estrutura do orçamento, bem como o elenco de projetos, atividades e operações especiais, além de demonstração de receita e despesa segundo as categorias econômicas, de acordo com o estabelecido na Lei nº 4.320/64, além dos programas de trabalho, funções e </w:t>
      </w:r>
      <w:proofErr w:type="spellStart"/>
      <w:r>
        <w:rPr>
          <w:rFonts w:ascii="Arial" w:eastAsia="Batang" w:hAnsi="Arial" w:cs="Arial"/>
          <w:sz w:val="24"/>
          <w:szCs w:val="24"/>
        </w:rPr>
        <w:t>sub-funções</w:t>
      </w:r>
      <w:proofErr w:type="spellEnd"/>
      <w:r>
        <w:rPr>
          <w:rFonts w:ascii="Arial" w:eastAsia="Batang" w:hAnsi="Arial" w:cs="Arial"/>
          <w:sz w:val="24"/>
          <w:szCs w:val="24"/>
        </w:rPr>
        <w:t xml:space="preserve"> referente ao orçamento.</w:t>
      </w:r>
    </w:p>
    <w:p w:rsidR="00E43A05" w:rsidRDefault="00E43A05" w:rsidP="00E43A05">
      <w:pPr>
        <w:spacing w:after="0" w:line="360" w:lineRule="auto"/>
        <w:ind w:right="142"/>
        <w:jc w:val="both"/>
        <w:rPr>
          <w:rFonts w:ascii="Arial" w:hAnsi="Arial" w:cs="Arial"/>
          <w:sz w:val="24"/>
          <w:szCs w:val="24"/>
        </w:rPr>
      </w:pPr>
      <w:r>
        <w:rPr>
          <w:rFonts w:ascii="Arial" w:eastAsia="Batang" w:hAnsi="Arial" w:cs="Arial"/>
          <w:sz w:val="24"/>
          <w:szCs w:val="24"/>
        </w:rPr>
        <w:tab/>
        <w:t>Esta parte do PL 0</w:t>
      </w:r>
      <w:r>
        <w:rPr>
          <w:rFonts w:ascii="Arial" w:eastAsia="Batang" w:hAnsi="Arial" w:cs="Arial"/>
          <w:sz w:val="24"/>
          <w:szCs w:val="24"/>
        </w:rPr>
        <w:t>35/2025</w:t>
      </w:r>
      <w:r>
        <w:rPr>
          <w:rFonts w:ascii="Arial" w:eastAsia="Batang" w:hAnsi="Arial" w:cs="Arial"/>
          <w:sz w:val="24"/>
          <w:szCs w:val="24"/>
        </w:rPr>
        <w:t xml:space="preserve"> deve ser analisada no que se refere ao mérito do orçamento, não cabendo a assessoria jurídica opinar sobre as especificações trazidas.</w:t>
      </w:r>
    </w:p>
    <w:p w:rsidR="00E43A05" w:rsidRDefault="00E43A05" w:rsidP="00E43A05">
      <w:pPr>
        <w:spacing w:after="0" w:line="360" w:lineRule="auto"/>
        <w:ind w:right="142"/>
        <w:jc w:val="both"/>
        <w:rPr>
          <w:rFonts w:eastAsia="Batang"/>
        </w:rPr>
      </w:pPr>
    </w:p>
    <w:p w:rsidR="00E43A05" w:rsidRDefault="00E43A05" w:rsidP="00E43A05">
      <w:pPr>
        <w:pStyle w:val="PargrafodaLista"/>
        <w:spacing w:after="0" w:line="360" w:lineRule="auto"/>
        <w:ind w:left="0" w:right="283"/>
        <w:jc w:val="both"/>
      </w:pPr>
      <w:r>
        <w:rPr>
          <w:rFonts w:ascii="Arial" w:hAnsi="Arial" w:cs="Arial"/>
          <w:b/>
          <w:sz w:val="24"/>
          <w:szCs w:val="24"/>
          <w:shd w:val="clear" w:color="auto" w:fill="FFFFFF"/>
        </w:rPr>
        <w:t>4) CONCLUSÃO</w:t>
      </w:r>
    </w:p>
    <w:p w:rsidR="00E43A05" w:rsidRDefault="00E43A05" w:rsidP="00E43A05">
      <w:pPr>
        <w:pStyle w:val="PargrafodaLista"/>
        <w:spacing w:after="0" w:line="360" w:lineRule="auto"/>
        <w:ind w:left="0" w:right="283"/>
        <w:jc w:val="both"/>
        <w:rPr>
          <w:rFonts w:ascii="Arial" w:hAnsi="Arial" w:cs="Arial"/>
          <w:b/>
          <w:sz w:val="24"/>
          <w:szCs w:val="24"/>
          <w:shd w:val="clear" w:color="auto" w:fill="FFFFFF"/>
        </w:rPr>
      </w:pPr>
    </w:p>
    <w:p w:rsidR="00E43A05" w:rsidRDefault="00E43A05" w:rsidP="00E43A05">
      <w:pPr>
        <w:pStyle w:val="PargrafodaLista"/>
        <w:spacing w:after="0" w:line="360" w:lineRule="auto"/>
        <w:ind w:left="0" w:right="283"/>
        <w:jc w:val="both"/>
        <w:rPr>
          <w:rFonts w:ascii="Arial" w:eastAsia="Batang" w:hAnsi="Arial" w:cs="Arial"/>
          <w:sz w:val="24"/>
          <w:szCs w:val="24"/>
        </w:rPr>
      </w:pPr>
      <w:r>
        <w:rPr>
          <w:rFonts w:ascii="Arial" w:eastAsia="Batang" w:hAnsi="Arial" w:cs="Arial"/>
          <w:b/>
          <w:sz w:val="24"/>
          <w:szCs w:val="24"/>
          <w:shd w:val="clear" w:color="auto" w:fill="FFFFFF"/>
        </w:rPr>
        <w:tab/>
      </w:r>
      <w:r>
        <w:rPr>
          <w:rFonts w:ascii="Arial" w:eastAsia="Batang" w:hAnsi="Arial" w:cs="Arial"/>
          <w:sz w:val="24"/>
          <w:szCs w:val="24"/>
        </w:rPr>
        <w:t xml:space="preserve">Inicialmente vale expor que foram respeitadas as legislações em vigor, observados as normas constitucionais e as disposições legais aplicáveis ao </w:t>
      </w:r>
      <w:r>
        <w:rPr>
          <w:rFonts w:ascii="Arial" w:eastAsia="Batang" w:hAnsi="Arial" w:cs="Arial"/>
          <w:sz w:val="24"/>
          <w:szCs w:val="24"/>
        </w:rPr>
        <w:lastRenderedPageBreak/>
        <w:t xml:space="preserve">orçamento anual, no entanto, essa assessoria jurídica </w:t>
      </w:r>
      <w:r>
        <w:rPr>
          <w:rFonts w:ascii="Arial" w:eastAsia="Batang" w:hAnsi="Arial" w:cs="Arial"/>
          <w:b/>
          <w:bCs/>
          <w:sz w:val="24"/>
          <w:szCs w:val="24"/>
          <w:u w:val="single"/>
        </w:rPr>
        <w:t>não possui competência técnica para falar de aspectos técnicos contábeis</w:t>
      </w:r>
      <w:r>
        <w:rPr>
          <w:rFonts w:ascii="Arial" w:eastAsia="Batang" w:hAnsi="Arial" w:cs="Arial"/>
          <w:sz w:val="24"/>
          <w:szCs w:val="24"/>
        </w:rPr>
        <w:t xml:space="preserve">, por essa razão, esta assessoria recomenda o envio para análise do setor contábil das matérias a ele atinentes. Além disso, cumpre expor, que a análise material do referido projeto de lei, cabe aos Excelentíssimos Senhores Vereadores. </w:t>
      </w:r>
    </w:p>
    <w:p w:rsidR="007A15E9" w:rsidRDefault="007A15E9" w:rsidP="00E43A05">
      <w:pPr>
        <w:pStyle w:val="PargrafodaLista"/>
        <w:spacing w:after="0" w:line="360" w:lineRule="auto"/>
        <w:ind w:left="0" w:right="283"/>
        <w:jc w:val="both"/>
      </w:pPr>
    </w:p>
    <w:p w:rsidR="00E43A05" w:rsidRDefault="00E43A05" w:rsidP="00E43A05">
      <w:pPr>
        <w:spacing w:after="0" w:line="360" w:lineRule="auto"/>
        <w:ind w:right="283"/>
        <w:jc w:val="both"/>
        <w:rPr>
          <w:sz w:val="24"/>
          <w:szCs w:val="24"/>
        </w:rPr>
      </w:pPr>
      <w:r>
        <w:rPr>
          <w:rFonts w:ascii="Arial" w:hAnsi="Arial" w:cs="Arial"/>
          <w:sz w:val="24"/>
          <w:szCs w:val="24"/>
        </w:rPr>
        <w:t xml:space="preserve">Diante do exposto, concluo que: </w:t>
      </w:r>
    </w:p>
    <w:p w:rsidR="00E43A05" w:rsidRDefault="00E43A05" w:rsidP="00E43A05">
      <w:pPr>
        <w:spacing w:after="0" w:line="360" w:lineRule="auto"/>
        <w:ind w:right="283"/>
        <w:jc w:val="both"/>
        <w:rPr>
          <w:rFonts w:ascii="Arial" w:hAnsi="Arial" w:cs="Arial"/>
        </w:rPr>
      </w:pPr>
    </w:p>
    <w:p w:rsidR="00E43A05" w:rsidRDefault="00E43A05" w:rsidP="00E43A05">
      <w:pPr>
        <w:numPr>
          <w:ilvl w:val="0"/>
          <w:numId w:val="21"/>
        </w:numPr>
        <w:spacing w:after="0" w:line="360" w:lineRule="auto"/>
        <w:ind w:left="0" w:right="283" w:firstLine="0"/>
        <w:jc w:val="both"/>
        <w:rPr>
          <w:sz w:val="24"/>
          <w:szCs w:val="24"/>
        </w:rPr>
      </w:pPr>
      <w:r>
        <w:rPr>
          <w:rFonts w:ascii="Arial" w:hAnsi="Arial" w:cs="Arial"/>
          <w:sz w:val="24"/>
          <w:szCs w:val="24"/>
        </w:rPr>
        <w:t xml:space="preserve">OPINO pela </w:t>
      </w:r>
      <w:r>
        <w:rPr>
          <w:rFonts w:ascii="Arial" w:hAnsi="Arial" w:cs="Arial"/>
          <w:b/>
          <w:bCs/>
          <w:sz w:val="24"/>
          <w:szCs w:val="24"/>
        </w:rPr>
        <w:t>CONSTITUCIONALIDADE</w:t>
      </w:r>
      <w:r>
        <w:rPr>
          <w:rFonts w:ascii="Arial" w:hAnsi="Arial" w:cs="Arial"/>
          <w:sz w:val="24"/>
          <w:szCs w:val="24"/>
        </w:rPr>
        <w:t xml:space="preserve"> formal e material da Lei de Orçamento Anual, no que ser refere – única e exclusivamente – a questões jurídicas, devendo tal Projeto de Lei 0</w:t>
      </w:r>
      <w:r>
        <w:rPr>
          <w:rFonts w:ascii="Arial" w:hAnsi="Arial" w:cs="Arial"/>
          <w:sz w:val="24"/>
          <w:szCs w:val="24"/>
        </w:rPr>
        <w:t>35/2025</w:t>
      </w:r>
      <w:r>
        <w:rPr>
          <w:rFonts w:ascii="Arial" w:hAnsi="Arial" w:cs="Arial"/>
          <w:sz w:val="24"/>
          <w:szCs w:val="24"/>
        </w:rPr>
        <w:t xml:space="preserve"> ser analisado pelas Comissão de Constituição e Justiça e Comissão de Finanças e Orçamento para decisão independente sobre a constitucionalidade do projeto, após sua leitura em plenário;</w:t>
      </w:r>
    </w:p>
    <w:p w:rsidR="00E43A05" w:rsidRDefault="00E43A05" w:rsidP="00E43A05">
      <w:pPr>
        <w:spacing w:after="0" w:line="360" w:lineRule="auto"/>
        <w:ind w:right="283"/>
        <w:jc w:val="both"/>
        <w:rPr>
          <w:rFonts w:ascii="Arial" w:hAnsi="Arial" w:cs="Arial"/>
          <w:bCs/>
        </w:rPr>
      </w:pPr>
    </w:p>
    <w:p w:rsidR="00E43A05" w:rsidRDefault="00E43A05" w:rsidP="00E43A05">
      <w:pPr>
        <w:spacing w:after="0" w:line="360" w:lineRule="auto"/>
        <w:ind w:right="283"/>
        <w:jc w:val="both"/>
        <w:rPr>
          <w:sz w:val="24"/>
          <w:szCs w:val="24"/>
        </w:rPr>
      </w:pPr>
      <w:r>
        <w:rPr>
          <w:rFonts w:ascii="Arial" w:hAnsi="Arial" w:cs="Arial"/>
          <w:bCs/>
          <w:sz w:val="24"/>
          <w:szCs w:val="24"/>
        </w:rPr>
        <w:tab/>
      </w:r>
      <w:r>
        <w:rPr>
          <w:rFonts w:ascii="Arial" w:eastAsia="Batang" w:hAnsi="Arial" w:cs="Arial"/>
          <w:sz w:val="24"/>
          <w:szCs w:val="24"/>
        </w:rPr>
        <w:t xml:space="preserve">Duas Barras, </w:t>
      </w:r>
      <w:r w:rsidR="007A15E9">
        <w:rPr>
          <w:rFonts w:ascii="Arial" w:eastAsia="Batang" w:hAnsi="Arial" w:cs="Arial"/>
          <w:sz w:val="24"/>
          <w:szCs w:val="24"/>
        </w:rPr>
        <w:t>10</w:t>
      </w:r>
      <w:r>
        <w:rPr>
          <w:rFonts w:ascii="Arial" w:eastAsia="Batang" w:hAnsi="Arial" w:cs="Arial"/>
          <w:sz w:val="24"/>
          <w:szCs w:val="24"/>
        </w:rPr>
        <w:t xml:space="preserve"> de </w:t>
      </w:r>
      <w:proofErr w:type="gramStart"/>
      <w:r>
        <w:rPr>
          <w:rFonts w:ascii="Arial" w:eastAsia="Batang" w:hAnsi="Arial" w:cs="Arial"/>
          <w:sz w:val="24"/>
          <w:szCs w:val="24"/>
        </w:rPr>
        <w:t>Setembro</w:t>
      </w:r>
      <w:proofErr w:type="gramEnd"/>
      <w:r>
        <w:rPr>
          <w:rFonts w:ascii="Arial" w:eastAsia="Batang" w:hAnsi="Arial" w:cs="Arial"/>
          <w:sz w:val="24"/>
          <w:szCs w:val="24"/>
        </w:rPr>
        <w:t xml:space="preserve"> de </w:t>
      </w:r>
      <w:r w:rsidR="007A15E9">
        <w:rPr>
          <w:rFonts w:ascii="Arial" w:eastAsia="Batang" w:hAnsi="Arial" w:cs="Arial"/>
          <w:sz w:val="24"/>
          <w:szCs w:val="24"/>
        </w:rPr>
        <w:t>2025</w:t>
      </w:r>
      <w:r>
        <w:rPr>
          <w:rFonts w:ascii="Arial" w:eastAsia="Batang" w:hAnsi="Arial" w:cs="Arial"/>
          <w:sz w:val="24"/>
          <w:szCs w:val="24"/>
        </w:rPr>
        <w:t xml:space="preserve">. </w:t>
      </w:r>
    </w:p>
    <w:p w:rsidR="00E43A05" w:rsidRDefault="00E43A05" w:rsidP="00E43A05">
      <w:pPr>
        <w:spacing w:after="0" w:line="360" w:lineRule="auto"/>
        <w:ind w:right="283"/>
        <w:jc w:val="center"/>
        <w:rPr>
          <w:rFonts w:ascii="Arial" w:hAnsi="Arial" w:cs="Arial"/>
          <w:sz w:val="24"/>
          <w:szCs w:val="24"/>
        </w:rPr>
      </w:pPr>
      <w:bookmarkStart w:id="0" w:name="_GoBack"/>
      <w:bookmarkEnd w:id="0"/>
    </w:p>
    <w:p w:rsidR="00E43A05" w:rsidRDefault="00E43A05" w:rsidP="00E43A05">
      <w:pPr>
        <w:pStyle w:val="SemEspaamento"/>
        <w:spacing w:line="360" w:lineRule="auto"/>
        <w:ind w:right="283"/>
        <w:jc w:val="center"/>
      </w:pPr>
      <w:r>
        <w:rPr>
          <w:rFonts w:ascii="Arial" w:hAnsi="Arial" w:cs="Arial"/>
          <w:b/>
        </w:rPr>
        <w:t xml:space="preserve">Thaís </w:t>
      </w:r>
      <w:proofErr w:type="spellStart"/>
      <w:r>
        <w:rPr>
          <w:rFonts w:ascii="Arial" w:hAnsi="Arial" w:cs="Arial"/>
          <w:b/>
        </w:rPr>
        <w:t>Cosendey</w:t>
      </w:r>
      <w:proofErr w:type="spellEnd"/>
      <w:r>
        <w:rPr>
          <w:rFonts w:ascii="Arial" w:hAnsi="Arial" w:cs="Arial"/>
          <w:b/>
        </w:rPr>
        <w:t xml:space="preserve"> </w:t>
      </w:r>
      <w:proofErr w:type="spellStart"/>
      <w:r>
        <w:rPr>
          <w:rFonts w:ascii="Arial" w:hAnsi="Arial" w:cs="Arial"/>
          <w:b/>
        </w:rPr>
        <w:t>Campanate</w:t>
      </w:r>
      <w:proofErr w:type="spellEnd"/>
    </w:p>
    <w:p w:rsidR="00E43A05" w:rsidRDefault="00E43A05" w:rsidP="00E43A05">
      <w:pPr>
        <w:pStyle w:val="SemEspaamento"/>
        <w:spacing w:line="360" w:lineRule="auto"/>
        <w:ind w:right="283"/>
        <w:jc w:val="center"/>
      </w:pPr>
      <w:r>
        <w:rPr>
          <w:rFonts w:ascii="Arial" w:hAnsi="Arial" w:cs="Arial"/>
          <w:b/>
        </w:rPr>
        <w:t>Assessora Jurídica da Câmara Municipal de Duas Barras</w:t>
      </w:r>
    </w:p>
    <w:p w:rsidR="00E43A05" w:rsidRDefault="00E43A05" w:rsidP="00E43A05">
      <w:pPr>
        <w:pStyle w:val="SemEspaamento"/>
        <w:spacing w:line="360" w:lineRule="auto"/>
        <w:ind w:right="283"/>
        <w:jc w:val="center"/>
      </w:pPr>
      <w:r>
        <w:rPr>
          <w:rFonts w:ascii="Arial" w:hAnsi="Arial" w:cs="Arial"/>
          <w:b/>
        </w:rPr>
        <w:t>Mat. 90188 – OAB/RJ 219.670</w:t>
      </w:r>
    </w:p>
    <w:p w:rsidR="00E43A05" w:rsidRDefault="00E43A05" w:rsidP="00E43A05">
      <w:pPr>
        <w:spacing w:after="120" w:line="360" w:lineRule="auto"/>
        <w:ind w:firstLine="708"/>
        <w:jc w:val="both"/>
        <w:rPr>
          <w:rFonts w:ascii="Arial" w:eastAsia="Batang" w:hAnsi="Arial" w:cs="Arial"/>
          <w:sz w:val="24"/>
          <w:szCs w:val="24"/>
        </w:rPr>
      </w:pPr>
    </w:p>
    <w:p w:rsidR="00E43A05" w:rsidRDefault="00E43A05" w:rsidP="00E43A05">
      <w:pPr>
        <w:spacing w:after="120" w:line="360" w:lineRule="auto"/>
        <w:ind w:firstLine="708"/>
        <w:jc w:val="both"/>
        <w:rPr>
          <w:rFonts w:ascii="Arial" w:hAnsi="Arial" w:cs="Arial"/>
          <w:b/>
        </w:rPr>
      </w:pPr>
      <w:r>
        <w:rPr>
          <w:rFonts w:ascii="Arial" w:hAnsi="Arial" w:cs="Arial"/>
          <w:b/>
        </w:rPr>
        <w:t xml:space="preserve"> </w:t>
      </w:r>
    </w:p>
    <w:p w:rsidR="00BC3A5E" w:rsidRPr="00E43A05" w:rsidRDefault="00BC3A5E" w:rsidP="00E43A05"/>
    <w:sectPr w:rsidR="00BC3A5E" w:rsidRPr="00E43A05" w:rsidSect="00700B1A">
      <w:headerReference w:type="default" r:id="rId8"/>
      <w:footerReference w:type="default" r:id="rId9"/>
      <w:pgSz w:w="11906" w:h="16838"/>
      <w:pgMar w:top="1417" w:right="1416" w:bottom="1417"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F0" w:rsidRDefault="00D534C7">
      <w:pPr>
        <w:spacing w:after="0" w:line="240" w:lineRule="auto"/>
      </w:pPr>
      <w:r>
        <w:separator/>
      </w:r>
    </w:p>
  </w:endnote>
  <w:endnote w:type="continuationSeparator" w:id="0">
    <w:p w:rsidR="00F10CF0" w:rsidRDefault="00D5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0"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 w:name="FangSong">
    <w:altName w:val="Arial Unicode MS"/>
    <w:charset w:val="86"/>
    <w:family w:val="modern"/>
    <w:pitch w:val="fixed"/>
    <w:sig w:usb0="00000000" w:usb1="38CF7CFA" w:usb2="00000016" w:usb3="00000000" w:csb0="00040001"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B1" w:rsidRDefault="00B36B6C" w:rsidP="00700B1A">
    <w:pPr>
      <w:pStyle w:val="Rodap"/>
      <w:ind w:right="-992"/>
      <w:jc w:val="right"/>
      <w:rPr>
        <w:rFonts w:ascii="Aparajita" w:hAnsi="Aparajita" w:cs="Aparajita"/>
      </w:rPr>
    </w:pPr>
    <w:r w:rsidRPr="00B36B6C">
      <w:rPr>
        <w:rFonts w:ascii="Aparajita" w:hAnsi="Aparajita" w:cs="Aparajita"/>
        <w:noProof/>
        <w:lang w:eastAsia="pt-BR"/>
      </w:rPr>
      <w:drawing>
        <wp:anchor distT="0" distB="0" distL="114300" distR="114300" simplePos="0" relativeHeight="251661312" behindDoc="1" locked="0" layoutInCell="1" allowOverlap="1">
          <wp:simplePos x="0" y="0"/>
          <wp:positionH relativeFrom="column">
            <wp:posOffset>-740004</wp:posOffset>
          </wp:positionH>
          <wp:positionV relativeFrom="paragraph">
            <wp:posOffset>-751053</wp:posOffset>
          </wp:positionV>
          <wp:extent cx="4777182" cy="819303"/>
          <wp:effectExtent l="19050" t="0" r="2817"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78733" cy="818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F0" w:rsidRDefault="00D534C7">
      <w:pPr>
        <w:spacing w:after="0" w:line="240" w:lineRule="auto"/>
      </w:pPr>
      <w:r>
        <w:separator/>
      </w:r>
    </w:p>
  </w:footnote>
  <w:footnote w:type="continuationSeparator" w:id="0">
    <w:p w:rsidR="00F10CF0" w:rsidRDefault="00D5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B6C" w:rsidRDefault="00B36B6C" w:rsidP="00B36B6C">
    <w:pPr>
      <w:pStyle w:val="Standard"/>
      <w:tabs>
        <w:tab w:val="left" w:pos="1276"/>
        <w:tab w:val="left" w:pos="1418"/>
        <w:tab w:val="left" w:pos="1590"/>
        <w:tab w:val="left" w:pos="1701"/>
        <w:tab w:val="left" w:pos="7545"/>
      </w:tabs>
      <w:rPr>
        <w:rFonts w:ascii="Footlight MT Light" w:eastAsia="FangSong" w:hAnsi="Footlight MT Light"/>
        <w:sz w:val="8"/>
        <w:szCs w:val="8"/>
      </w:rPr>
    </w:pPr>
    <w:r>
      <w:rPr>
        <w:noProof/>
      </w:rPr>
      <w:drawing>
        <wp:anchor distT="0" distB="0" distL="114300" distR="114300" simplePos="0" relativeHeight="251659264" behindDoc="1" locked="0" layoutInCell="1" allowOverlap="1">
          <wp:simplePos x="0" y="0"/>
          <wp:positionH relativeFrom="column">
            <wp:posOffset>-53340</wp:posOffset>
          </wp:positionH>
          <wp:positionV relativeFrom="paragraph">
            <wp:posOffset>-33020</wp:posOffset>
          </wp:positionV>
          <wp:extent cx="839470" cy="952500"/>
          <wp:effectExtent l="0" t="0" r="0" b="0"/>
          <wp:wrapTight wrapText="bothSides">
            <wp:wrapPolygon edited="0">
              <wp:start x="6372" y="0"/>
              <wp:lineTo x="3431" y="1728"/>
              <wp:lineTo x="490" y="5616"/>
              <wp:lineTo x="490" y="19008"/>
              <wp:lineTo x="1961" y="20736"/>
              <wp:lineTo x="7352" y="21168"/>
              <wp:lineTo x="13725" y="21168"/>
              <wp:lineTo x="18136" y="20736"/>
              <wp:lineTo x="21077" y="18144"/>
              <wp:lineTo x="20587" y="6048"/>
              <wp:lineTo x="17156" y="1728"/>
              <wp:lineTo x="14705" y="0"/>
              <wp:lineTo x="6372" y="0"/>
            </wp:wrapPolygon>
          </wp:wrapTight>
          <wp:docPr id="19" name="Imagem 19" descr="Símbolos Municipais – Prefeitura de Duas B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s Municipais – Prefeitura de Duas Barr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9470" cy="952500"/>
                  </a:xfrm>
                  <a:prstGeom prst="rect">
                    <a:avLst/>
                  </a:prstGeom>
                  <a:noFill/>
                  <a:ln>
                    <a:noFill/>
                  </a:ln>
                </pic:spPr>
              </pic:pic>
            </a:graphicData>
          </a:graphic>
        </wp:anchor>
      </w:drawing>
    </w:r>
  </w:p>
  <w:p w:rsidR="00B36B6C" w:rsidRDefault="00B36B6C" w:rsidP="00B36B6C">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B36B6C" w:rsidRDefault="00B36B6C" w:rsidP="00B36B6C">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B36B6C" w:rsidRDefault="00B36B6C" w:rsidP="00B36B6C">
    <w:pPr>
      <w:pStyle w:val="Standard"/>
      <w:tabs>
        <w:tab w:val="left" w:pos="1276"/>
        <w:tab w:val="left" w:pos="1418"/>
        <w:tab w:val="left" w:pos="1590"/>
        <w:tab w:val="left" w:pos="1701"/>
        <w:tab w:val="left" w:pos="7545"/>
      </w:tabs>
      <w:spacing w:line="276" w:lineRule="auto"/>
      <w:rPr>
        <w:noProof/>
      </w:rPr>
    </w:pPr>
    <w:r>
      <w:rPr>
        <w:rFonts w:ascii="Footlight MT Light" w:eastAsia="FangSong" w:hAnsi="Footlight MT Light"/>
        <w:szCs w:val="28"/>
      </w:rPr>
      <w:t xml:space="preserve">                   </w:t>
    </w:r>
    <w:r w:rsidRPr="00C44418">
      <w:rPr>
        <w:rFonts w:ascii="Footlight MT Light" w:eastAsia="FangSong" w:hAnsi="Footlight MT Light"/>
        <w:szCs w:val="28"/>
      </w:rPr>
      <w:t xml:space="preserve">Estado do Rio de Janeiro         </w:t>
    </w:r>
  </w:p>
  <w:p w:rsidR="00B36B6C" w:rsidRDefault="00B36B6C" w:rsidP="00B36B6C">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Pr="00C44418">
      <w:rPr>
        <w:rFonts w:ascii="Footlight MT Light" w:eastAsia="FangSong" w:hAnsi="Footlight MT Light"/>
        <w:b/>
        <w:szCs w:val="28"/>
      </w:rPr>
      <w:t>Câmara Municipal de Duas Barras</w:t>
    </w:r>
  </w:p>
  <w:p w:rsidR="00B36B6C" w:rsidRDefault="00B36B6C" w:rsidP="00B36B6C">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Procuradoria Jurídica</w:t>
    </w:r>
  </w:p>
  <w:p w:rsidR="00075CB1" w:rsidRDefault="00075CB1">
    <w:pPr>
      <w:pStyle w:val="Cabealho"/>
      <w:rPr>
        <w:rFonts w:ascii="Aparajita" w:hAnsi="Aparajita" w:cs="Aparajita"/>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103"/>
    <w:multiLevelType w:val="multilevel"/>
    <w:tmpl w:val="5F8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76B2"/>
    <w:multiLevelType w:val="multilevel"/>
    <w:tmpl w:val="CABAD632"/>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B611C34"/>
    <w:multiLevelType w:val="multilevel"/>
    <w:tmpl w:val="3676CF4A"/>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9350189"/>
    <w:multiLevelType w:val="hybridMultilevel"/>
    <w:tmpl w:val="1C704FBA"/>
    <w:lvl w:ilvl="0" w:tplc="DE90BD6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19792A"/>
    <w:multiLevelType w:val="multilevel"/>
    <w:tmpl w:val="13F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8168A"/>
    <w:multiLevelType w:val="multilevel"/>
    <w:tmpl w:val="D15A14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3D0DA4"/>
    <w:multiLevelType w:val="hybridMultilevel"/>
    <w:tmpl w:val="5444481A"/>
    <w:lvl w:ilvl="0" w:tplc="6AEA0D7A">
      <w:start w:val="1"/>
      <w:numFmt w:val="upp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50D83CB1"/>
    <w:multiLevelType w:val="multilevel"/>
    <w:tmpl w:val="225C99C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597F1A8B"/>
    <w:multiLevelType w:val="multilevel"/>
    <w:tmpl w:val="16704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14B39F6"/>
    <w:multiLevelType w:val="hybridMultilevel"/>
    <w:tmpl w:val="E7AE9794"/>
    <w:lvl w:ilvl="0" w:tplc="B9D82C24">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3FB7229"/>
    <w:multiLevelType w:val="multilevel"/>
    <w:tmpl w:val="B9FECEDA"/>
    <w:lvl w:ilvl="0">
      <w:start w:val="4"/>
      <w:numFmt w:val="decimal"/>
      <w:lvlText w:val="%1"/>
      <w:lvlJc w:val="left"/>
      <w:pPr>
        <w:tabs>
          <w:tab w:val="num" w:pos="0"/>
        </w:tabs>
        <w:ind w:left="360" w:hanging="360"/>
      </w:pPr>
      <w:rPr>
        <w:rFonts w:eastAsia="Times New Roman"/>
      </w:rPr>
    </w:lvl>
    <w:lvl w:ilvl="1">
      <w:start w:val="2"/>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1080" w:hanging="108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440" w:hanging="144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800" w:hanging="180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11" w15:restartNumberingAfterBreak="0">
    <w:nsid w:val="66A91CA9"/>
    <w:multiLevelType w:val="hybridMultilevel"/>
    <w:tmpl w:val="32A42CD0"/>
    <w:lvl w:ilvl="0" w:tplc="16F619E8">
      <w:start w:val="8"/>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636836"/>
    <w:multiLevelType w:val="hybridMultilevel"/>
    <w:tmpl w:val="B7361E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A8302C"/>
    <w:multiLevelType w:val="hybridMultilevel"/>
    <w:tmpl w:val="FD90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B41A9A"/>
    <w:multiLevelType w:val="multilevel"/>
    <w:tmpl w:val="8A74F39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5" w15:restartNumberingAfterBreak="0">
    <w:nsid w:val="726D1C8A"/>
    <w:multiLevelType w:val="multilevel"/>
    <w:tmpl w:val="187228EC"/>
    <w:lvl w:ilvl="0">
      <w:start w:val="8"/>
      <w:numFmt w:val="decimal"/>
      <w:lvlText w:val="%1)"/>
      <w:lvlJc w:val="left"/>
      <w:pPr>
        <w:tabs>
          <w:tab w:val="num" w:pos="0"/>
        </w:tabs>
        <w:ind w:left="720" w:hanging="360"/>
      </w:pPr>
      <w:rPr>
        <w:rFonts w:eastAsia="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3EF701E"/>
    <w:multiLevelType w:val="multilevel"/>
    <w:tmpl w:val="EEA6DC5E"/>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78B92362"/>
    <w:multiLevelType w:val="multilevel"/>
    <w:tmpl w:val="6368E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DB258EB"/>
    <w:multiLevelType w:val="hybridMultilevel"/>
    <w:tmpl w:val="2752C280"/>
    <w:lvl w:ilvl="0" w:tplc="8A3A5B6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10"/>
  </w:num>
  <w:num w:numId="3">
    <w:abstractNumId w:val="1"/>
  </w:num>
  <w:num w:numId="4">
    <w:abstractNumId w:val="15"/>
  </w:num>
  <w:num w:numId="5">
    <w:abstractNumId w:val="2"/>
  </w:num>
  <w:num w:numId="6">
    <w:abstractNumId w:val="17"/>
  </w:num>
  <w:num w:numId="7">
    <w:abstractNumId w:val="3"/>
  </w:num>
  <w:num w:numId="8">
    <w:abstractNumId w:val="12"/>
  </w:num>
  <w:num w:numId="9">
    <w:abstractNumId w:val="6"/>
  </w:num>
  <w:num w:numId="10">
    <w:abstractNumId w:val="13"/>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B1"/>
    <w:rsid w:val="00033402"/>
    <w:rsid w:val="00033821"/>
    <w:rsid w:val="00075CB1"/>
    <w:rsid w:val="00122D4E"/>
    <w:rsid w:val="001665F0"/>
    <w:rsid w:val="00167B18"/>
    <w:rsid w:val="001A04D1"/>
    <w:rsid w:val="001C2A3B"/>
    <w:rsid w:val="00232708"/>
    <w:rsid w:val="00236663"/>
    <w:rsid w:val="0027110E"/>
    <w:rsid w:val="00282976"/>
    <w:rsid w:val="002969FA"/>
    <w:rsid w:val="002B159C"/>
    <w:rsid w:val="002E2E4A"/>
    <w:rsid w:val="002E5AB1"/>
    <w:rsid w:val="0035229D"/>
    <w:rsid w:val="003566B4"/>
    <w:rsid w:val="003B22D8"/>
    <w:rsid w:val="003E3D0F"/>
    <w:rsid w:val="003F3B40"/>
    <w:rsid w:val="00411DC1"/>
    <w:rsid w:val="004176C7"/>
    <w:rsid w:val="004520A7"/>
    <w:rsid w:val="004675EB"/>
    <w:rsid w:val="004E7CED"/>
    <w:rsid w:val="00517385"/>
    <w:rsid w:val="005D010B"/>
    <w:rsid w:val="006040C7"/>
    <w:rsid w:val="0062796E"/>
    <w:rsid w:val="0068225B"/>
    <w:rsid w:val="00687058"/>
    <w:rsid w:val="00700B1A"/>
    <w:rsid w:val="00702DC7"/>
    <w:rsid w:val="00705FEE"/>
    <w:rsid w:val="00710D0F"/>
    <w:rsid w:val="00730CE3"/>
    <w:rsid w:val="007A15E9"/>
    <w:rsid w:val="007A7186"/>
    <w:rsid w:val="007C2383"/>
    <w:rsid w:val="00801782"/>
    <w:rsid w:val="00827BDB"/>
    <w:rsid w:val="008920D7"/>
    <w:rsid w:val="00893C22"/>
    <w:rsid w:val="008E4D5A"/>
    <w:rsid w:val="00937586"/>
    <w:rsid w:val="00993C05"/>
    <w:rsid w:val="009A4C0E"/>
    <w:rsid w:val="009C5BC2"/>
    <w:rsid w:val="00A01B4D"/>
    <w:rsid w:val="00A57B9F"/>
    <w:rsid w:val="00A94C4E"/>
    <w:rsid w:val="00B36B6C"/>
    <w:rsid w:val="00B9264E"/>
    <w:rsid w:val="00BC3A5E"/>
    <w:rsid w:val="00BD417D"/>
    <w:rsid w:val="00C63B08"/>
    <w:rsid w:val="00C8691D"/>
    <w:rsid w:val="00C946E0"/>
    <w:rsid w:val="00CA0ACF"/>
    <w:rsid w:val="00CF00FD"/>
    <w:rsid w:val="00D534C7"/>
    <w:rsid w:val="00E01A2A"/>
    <w:rsid w:val="00E16A77"/>
    <w:rsid w:val="00E43A05"/>
    <w:rsid w:val="00EA1C89"/>
    <w:rsid w:val="00EC32C9"/>
    <w:rsid w:val="00EE3639"/>
    <w:rsid w:val="00EF38BE"/>
    <w:rsid w:val="00EF750E"/>
    <w:rsid w:val="00F10CF0"/>
    <w:rsid w:val="00F20155"/>
    <w:rsid w:val="00F25AA1"/>
    <w:rsid w:val="00F31D34"/>
    <w:rsid w:val="00FC4FCE"/>
    <w:rsid w:val="00FF47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127593"/>
  <w15:docId w15:val="{AB3B3EB2-FE70-418F-B4E7-7B5F25A0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CDC"/>
    <w:pPr>
      <w:spacing w:after="200" w:line="276" w:lineRule="auto"/>
    </w:pPr>
  </w:style>
  <w:style w:type="paragraph" w:styleId="Ttulo3">
    <w:name w:val="heading 3"/>
    <w:basedOn w:val="Normal"/>
    <w:link w:val="Ttulo3Char"/>
    <w:uiPriority w:val="9"/>
    <w:qFormat/>
    <w:rsid w:val="007A7186"/>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0D1D10"/>
  </w:style>
  <w:style w:type="character" w:customStyle="1" w:styleId="RodapChar">
    <w:name w:val="Rodapé Char"/>
    <w:basedOn w:val="Fontepargpadro"/>
    <w:link w:val="Rodap"/>
    <w:uiPriority w:val="99"/>
    <w:qFormat/>
    <w:rsid w:val="000D1D10"/>
  </w:style>
  <w:style w:type="character" w:customStyle="1" w:styleId="TextodebaloChar">
    <w:name w:val="Texto de balão Char"/>
    <w:basedOn w:val="Fontepargpadro"/>
    <w:link w:val="Textodebalo"/>
    <w:uiPriority w:val="99"/>
    <w:semiHidden/>
    <w:qFormat/>
    <w:rsid w:val="000D1D10"/>
    <w:rPr>
      <w:rFonts w:ascii="Tahoma" w:hAnsi="Tahoma" w:cs="Tahoma"/>
      <w:sz w:val="16"/>
      <w:szCs w:val="16"/>
    </w:rPr>
  </w:style>
  <w:style w:type="character" w:customStyle="1" w:styleId="LinkdaInternet">
    <w:name w:val="Link da Internet"/>
    <w:basedOn w:val="Fontepargpadro"/>
    <w:uiPriority w:val="99"/>
    <w:unhideWhenUsed/>
    <w:rsid w:val="000D1D10"/>
    <w:rPr>
      <w:color w:val="0000FF" w:themeColor="hyperlink"/>
      <w:u w:val="single"/>
    </w:rPr>
  </w:style>
  <w:style w:type="character" w:styleId="Refdecomentrio">
    <w:name w:val="annotation reference"/>
    <w:basedOn w:val="Fontepargpadro"/>
    <w:uiPriority w:val="99"/>
    <w:semiHidden/>
    <w:unhideWhenUsed/>
    <w:qFormat/>
    <w:rsid w:val="009C02D2"/>
    <w:rPr>
      <w:sz w:val="16"/>
      <w:szCs w:val="16"/>
    </w:rPr>
  </w:style>
  <w:style w:type="character" w:customStyle="1" w:styleId="TextodecomentrioChar">
    <w:name w:val="Texto de comentário Char"/>
    <w:basedOn w:val="Fontepargpadro"/>
    <w:link w:val="Textodecomentrio"/>
    <w:uiPriority w:val="99"/>
    <w:semiHidden/>
    <w:qFormat/>
    <w:rsid w:val="009C02D2"/>
    <w:rPr>
      <w:sz w:val="20"/>
      <w:szCs w:val="20"/>
    </w:rPr>
  </w:style>
  <w:style w:type="character" w:customStyle="1" w:styleId="AssuntodocomentrioChar">
    <w:name w:val="Assunto do comentário Char"/>
    <w:basedOn w:val="TextodecomentrioChar"/>
    <w:link w:val="Assuntodocomentrio"/>
    <w:uiPriority w:val="99"/>
    <w:semiHidden/>
    <w:qFormat/>
    <w:rsid w:val="009C02D2"/>
    <w:rPr>
      <w:b/>
      <w:bCs/>
      <w:sz w:val="20"/>
      <w:szCs w:val="20"/>
    </w:rPr>
  </w:style>
  <w:style w:type="character" w:styleId="nfase">
    <w:name w:val="Emphasis"/>
    <w:basedOn w:val="Fontepargpadro"/>
    <w:uiPriority w:val="20"/>
    <w:qFormat/>
    <w:rsid w:val="004941A7"/>
    <w:rPr>
      <w:i/>
      <w:iCs/>
    </w:rPr>
  </w:style>
  <w:style w:type="character" w:styleId="Forte">
    <w:name w:val="Strong"/>
    <w:basedOn w:val="Fontepargpadro"/>
    <w:uiPriority w:val="22"/>
    <w:qFormat/>
    <w:rsid w:val="006C07E5"/>
    <w:rPr>
      <w:b/>
      <w:bCs/>
    </w:rPr>
  </w:style>
  <w:style w:type="paragraph" w:styleId="Ttulo">
    <w:name w:val="Title"/>
    <w:basedOn w:val="Normal"/>
    <w:next w:val="Corpodetexto"/>
    <w:qFormat/>
    <w:rsid w:val="00FC4FCE"/>
    <w:pPr>
      <w:keepNext/>
      <w:spacing w:before="240" w:after="120"/>
    </w:pPr>
    <w:rPr>
      <w:rFonts w:ascii="Liberation Sans" w:eastAsia="Microsoft YaHei" w:hAnsi="Liberation Sans" w:cs="Arial"/>
      <w:sz w:val="28"/>
      <w:szCs w:val="28"/>
    </w:rPr>
  </w:style>
  <w:style w:type="paragraph" w:styleId="Corpodetexto">
    <w:name w:val="Body Text"/>
    <w:basedOn w:val="Normal"/>
    <w:rsid w:val="00FC4FCE"/>
    <w:pPr>
      <w:spacing w:after="140"/>
    </w:pPr>
  </w:style>
  <w:style w:type="paragraph" w:styleId="Lista">
    <w:name w:val="List"/>
    <w:basedOn w:val="Corpodetexto"/>
    <w:rsid w:val="00FC4FCE"/>
    <w:rPr>
      <w:rFonts w:cs="Arial"/>
    </w:rPr>
  </w:style>
  <w:style w:type="paragraph" w:styleId="Legenda">
    <w:name w:val="caption"/>
    <w:basedOn w:val="Normal"/>
    <w:qFormat/>
    <w:rsid w:val="00FC4FCE"/>
    <w:pPr>
      <w:suppressLineNumbers/>
      <w:spacing w:before="120" w:after="120"/>
    </w:pPr>
    <w:rPr>
      <w:rFonts w:cs="Arial"/>
      <w:i/>
      <w:iCs/>
      <w:sz w:val="24"/>
      <w:szCs w:val="24"/>
    </w:rPr>
  </w:style>
  <w:style w:type="paragraph" w:customStyle="1" w:styleId="ndice">
    <w:name w:val="Índice"/>
    <w:basedOn w:val="Normal"/>
    <w:qFormat/>
    <w:rsid w:val="00FC4FCE"/>
    <w:pPr>
      <w:suppressLineNumbers/>
    </w:pPr>
    <w:rPr>
      <w:rFonts w:cs="Arial"/>
    </w:rPr>
  </w:style>
  <w:style w:type="paragraph" w:customStyle="1" w:styleId="CabealhoeRodap">
    <w:name w:val="Cabeçalho e Rodapé"/>
    <w:basedOn w:val="Normal"/>
    <w:qFormat/>
    <w:rsid w:val="00FC4FCE"/>
  </w:style>
  <w:style w:type="paragraph" w:styleId="Cabealho">
    <w:name w:val="header"/>
    <w:basedOn w:val="Normal"/>
    <w:link w:val="CabealhoChar"/>
    <w:uiPriority w:val="99"/>
    <w:unhideWhenUsed/>
    <w:rsid w:val="000D1D10"/>
    <w:pPr>
      <w:tabs>
        <w:tab w:val="center" w:pos="4252"/>
        <w:tab w:val="right" w:pos="8504"/>
      </w:tabs>
      <w:spacing w:after="0" w:line="240" w:lineRule="auto"/>
    </w:pPr>
  </w:style>
  <w:style w:type="paragraph" w:styleId="Rodap">
    <w:name w:val="footer"/>
    <w:basedOn w:val="Normal"/>
    <w:link w:val="RodapChar"/>
    <w:uiPriority w:val="99"/>
    <w:unhideWhenUsed/>
    <w:rsid w:val="000D1D10"/>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0D1D10"/>
    <w:pPr>
      <w:spacing w:after="0" w:line="240" w:lineRule="auto"/>
    </w:pPr>
    <w:rPr>
      <w:rFonts w:ascii="Tahoma" w:hAnsi="Tahoma" w:cs="Tahoma"/>
      <w:sz w:val="16"/>
      <w:szCs w:val="16"/>
    </w:rPr>
  </w:style>
  <w:style w:type="paragraph" w:styleId="PargrafodaLista">
    <w:name w:val="List Paragraph"/>
    <w:basedOn w:val="Normal"/>
    <w:uiPriority w:val="34"/>
    <w:qFormat/>
    <w:rsid w:val="009C02D2"/>
    <w:pPr>
      <w:ind w:left="720"/>
      <w:contextualSpacing/>
    </w:pPr>
  </w:style>
  <w:style w:type="paragraph" w:customStyle="1" w:styleId="Default">
    <w:name w:val="Default"/>
    <w:qFormat/>
    <w:rsid w:val="009C02D2"/>
    <w:rPr>
      <w:rFonts w:ascii="Arial" w:eastAsia="Calibri" w:hAnsi="Arial" w:cs="Arial"/>
      <w:color w:val="000000"/>
      <w:sz w:val="24"/>
      <w:szCs w:val="24"/>
    </w:rPr>
  </w:style>
  <w:style w:type="paragraph" w:styleId="Textodecomentrio">
    <w:name w:val="annotation text"/>
    <w:basedOn w:val="Normal"/>
    <w:link w:val="TextodecomentrioChar"/>
    <w:uiPriority w:val="99"/>
    <w:semiHidden/>
    <w:unhideWhenUsed/>
    <w:qFormat/>
    <w:rsid w:val="009C02D2"/>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9C02D2"/>
    <w:rPr>
      <w:b/>
      <w:bCs/>
    </w:rPr>
  </w:style>
  <w:style w:type="paragraph" w:styleId="NormalWeb">
    <w:name w:val="Normal (Web)"/>
    <w:basedOn w:val="Normal"/>
    <w:uiPriority w:val="99"/>
    <w:unhideWhenUsed/>
    <w:qFormat/>
    <w:rsid w:val="00682CD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subtitulo2">
    <w:name w:val="subtitulo2"/>
    <w:basedOn w:val="Normal"/>
    <w:qFormat/>
    <w:rsid w:val="006B74E4"/>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1">
    <w:name w:val="texto 1"/>
    <w:basedOn w:val="Normal"/>
    <w:qFormat/>
    <w:rsid w:val="005419CB"/>
    <w:pPr>
      <w:tabs>
        <w:tab w:val="left" w:leader="dot" w:pos="8505"/>
      </w:tabs>
      <w:spacing w:after="0" w:line="360" w:lineRule="auto"/>
      <w:ind w:firstLine="1418"/>
      <w:jc w:val="both"/>
    </w:pPr>
    <w:rPr>
      <w:rFonts w:ascii="Courier New" w:eastAsia="Times New Roman" w:hAnsi="Courier New" w:cs="Times New Roman"/>
      <w:sz w:val="24"/>
      <w:szCs w:val="20"/>
      <w:lang w:eastAsia="pt-BR"/>
    </w:rPr>
  </w:style>
  <w:style w:type="paragraph" w:customStyle="1" w:styleId="dou-paragraph">
    <w:name w:val="dou-paragraph"/>
    <w:basedOn w:val="Normal"/>
    <w:qFormat/>
    <w:rsid w:val="00530148"/>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6AB0"/>
    <w:rPr>
      <w:rFonts w:ascii="Times New Roman" w:eastAsia="Times New Roman" w:hAnsi="Times New Roman" w:cs="Times New Roman"/>
      <w:sz w:val="24"/>
      <w:szCs w:val="24"/>
      <w:lang w:eastAsia="pt-BR"/>
    </w:rPr>
  </w:style>
  <w:style w:type="paragraph" w:customStyle="1" w:styleId="Contedodoquadro">
    <w:name w:val="Conteúdo do quadro"/>
    <w:basedOn w:val="Normal"/>
    <w:qFormat/>
    <w:rsid w:val="00FC4FCE"/>
  </w:style>
  <w:style w:type="paragraph" w:customStyle="1" w:styleId="Artigo">
    <w:name w:val="Artigo"/>
    <w:basedOn w:val="Normal"/>
    <w:uiPriority w:val="99"/>
    <w:qFormat/>
    <w:rsid w:val="00FC4FCE"/>
    <w:pPr>
      <w:widowControl w:val="0"/>
      <w:spacing w:after="240"/>
      <w:ind w:left="992" w:hanging="992"/>
      <w:jc w:val="both"/>
    </w:pPr>
    <w:rPr>
      <w:rFonts w:ascii="Arial" w:hAnsi="Arial"/>
      <w:szCs w:val="20"/>
    </w:rPr>
  </w:style>
  <w:style w:type="table" w:styleId="Tabelacomgrade">
    <w:name w:val="Table Grid"/>
    <w:basedOn w:val="Tabelanormal"/>
    <w:uiPriority w:val="39"/>
    <w:rsid w:val="006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CA0ACF"/>
    <w:pPr>
      <w:suppressAutoHyphens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A0ACF"/>
    <w:rPr>
      <w:rFonts w:ascii="Times New Roman" w:eastAsia="Times New Roman" w:hAnsi="Times New Roman" w:cs="Times New Roman"/>
      <w:sz w:val="20"/>
      <w:szCs w:val="20"/>
      <w:lang w:eastAsia="pt-BR"/>
    </w:rPr>
  </w:style>
  <w:style w:type="character" w:styleId="Refdenotaderodap">
    <w:name w:val="footnote reference"/>
    <w:rsid w:val="00CA0ACF"/>
    <w:rPr>
      <w:vertAlign w:val="superscript"/>
    </w:rPr>
  </w:style>
  <w:style w:type="character" w:styleId="Hyperlink">
    <w:name w:val="Hyperlink"/>
    <w:basedOn w:val="Fontepargpadro"/>
    <w:uiPriority w:val="99"/>
    <w:semiHidden/>
    <w:unhideWhenUsed/>
    <w:rsid w:val="002969FA"/>
    <w:rPr>
      <w:color w:val="0000FF"/>
      <w:u w:val="single"/>
    </w:rPr>
  </w:style>
  <w:style w:type="paragraph" w:customStyle="1" w:styleId="Standard">
    <w:name w:val="Standard"/>
    <w:rsid w:val="00B36B6C"/>
    <w:pPr>
      <w:autoSpaceDN w:val="0"/>
      <w:textAlignment w:val="baseline"/>
    </w:pPr>
    <w:rPr>
      <w:rFonts w:ascii="Times New Roman" w:eastAsia="Times New Roman" w:hAnsi="Times New Roman" w:cs="Times New Roman"/>
      <w:sz w:val="28"/>
      <w:szCs w:val="20"/>
      <w:lang w:eastAsia="pt-BR"/>
    </w:rPr>
  </w:style>
  <w:style w:type="character" w:customStyle="1" w:styleId="Ttulo3Char">
    <w:name w:val="Título 3 Char"/>
    <w:basedOn w:val="Fontepargpadro"/>
    <w:link w:val="Ttulo3"/>
    <w:uiPriority w:val="9"/>
    <w:rsid w:val="007A7186"/>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32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3590190">
      <w:bodyDiv w:val="1"/>
      <w:marLeft w:val="0"/>
      <w:marRight w:val="0"/>
      <w:marTop w:val="0"/>
      <w:marBottom w:val="0"/>
      <w:divBdr>
        <w:top w:val="none" w:sz="0" w:space="0" w:color="auto"/>
        <w:left w:val="none" w:sz="0" w:space="0" w:color="auto"/>
        <w:bottom w:val="none" w:sz="0" w:space="0" w:color="auto"/>
        <w:right w:val="none" w:sz="0" w:space="0" w:color="auto"/>
      </w:divBdr>
    </w:div>
    <w:div w:id="675348754">
      <w:bodyDiv w:val="1"/>
      <w:marLeft w:val="0"/>
      <w:marRight w:val="0"/>
      <w:marTop w:val="0"/>
      <w:marBottom w:val="0"/>
      <w:divBdr>
        <w:top w:val="none" w:sz="0" w:space="0" w:color="auto"/>
        <w:left w:val="none" w:sz="0" w:space="0" w:color="auto"/>
        <w:bottom w:val="none" w:sz="0" w:space="0" w:color="auto"/>
        <w:right w:val="none" w:sz="0" w:space="0" w:color="auto"/>
      </w:divBdr>
    </w:div>
    <w:div w:id="965702186">
      <w:bodyDiv w:val="1"/>
      <w:marLeft w:val="0"/>
      <w:marRight w:val="0"/>
      <w:marTop w:val="0"/>
      <w:marBottom w:val="0"/>
      <w:divBdr>
        <w:top w:val="none" w:sz="0" w:space="0" w:color="auto"/>
        <w:left w:val="none" w:sz="0" w:space="0" w:color="auto"/>
        <w:bottom w:val="none" w:sz="0" w:space="0" w:color="auto"/>
        <w:right w:val="none" w:sz="0" w:space="0" w:color="auto"/>
      </w:divBdr>
      <w:divsChild>
        <w:div w:id="20909267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8217940">
      <w:bodyDiv w:val="1"/>
      <w:marLeft w:val="0"/>
      <w:marRight w:val="0"/>
      <w:marTop w:val="0"/>
      <w:marBottom w:val="0"/>
      <w:divBdr>
        <w:top w:val="none" w:sz="0" w:space="0" w:color="auto"/>
        <w:left w:val="none" w:sz="0" w:space="0" w:color="auto"/>
        <w:bottom w:val="none" w:sz="0" w:space="0" w:color="auto"/>
        <w:right w:val="none" w:sz="0" w:space="0" w:color="auto"/>
      </w:divBdr>
      <w:divsChild>
        <w:div w:id="1099330035">
          <w:blockQuote w:val="1"/>
          <w:marLeft w:val="0"/>
          <w:marRight w:val="0"/>
          <w:marTop w:val="0"/>
          <w:marBottom w:val="300"/>
          <w:divBdr>
            <w:top w:val="none" w:sz="0" w:space="0" w:color="auto"/>
            <w:left w:val="single" w:sz="36" w:space="15" w:color="EEEEEE"/>
            <w:bottom w:val="none" w:sz="0" w:space="0" w:color="auto"/>
            <w:right w:val="none" w:sz="0" w:space="0" w:color="auto"/>
          </w:divBdr>
        </w:div>
        <w:div w:id="6483619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8034676">
      <w:bodyDiv w:val="1"/>
      <w:marLeft w:val="0"/>
      <w:marRight w:val="0"/>
      <w:marTop w:val="0"/>
      <w:marBottom w:val="0"/>
      <w:divBdr>
        <w:top w:val="none" w:sz="0" w:space="0" w:color="auto"/>
        <w:left w:val="none" w:sz="0" w:space="0" w:color="auto"/>
        <w:bottom w:val="none" w:sz="0" w:space="0" w:color="auto"/>
        <w:right w:val="none" w:sz="0" w:space="0" w:color="auto"/>
      </w:divBdr>
    </w:div>
    <w:div w:id="170925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2018-4802-4570-8368-6B1ADF7B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2655</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3</cp:revision>
  <cp:lastPrinted>2024-01-30T18:40:00Z</cp:lastPrinted>
  <dcterms:created xsi:type="dcterms:W3CDTF">2025-09-10T16:07:00Z</dcterms:created>
  <dcterms:modified xsi:type="dcterms:W3CDTF">2025-09-10T16:22:00Z</dcterms:modified>
  <dc:language>pt-BR</dc:language>
</cp:coreProperties>
</file>