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46" w:rsidRPr="00876164" w:rsidRDefault="004F5946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6164">
        <w:rPr>
          <w:rFonts w:ascii="Arial" w:hAnsi="Arial" w:cs="Arial"/>
          <w:b/>
          <w:sz w:val="24"/>
          <w:szCs w:val="24"/>
          <w:u w:val="single"/>
        </w:rPr>
        <w:t>PARE</w:t>
      </w:r>
      <w:r w:rsidR="003B0DDE">
        <w:rPr>
          <w:rFonts w:ascii="Arial" w:hAnsi="Arial" w:cs="Arial"/>
          <w:b/>
          <w:sz w:val="24"/>
          <w:szCs w:val="24"/>
          <w:u w:val="single"/>
        </w:rPr>
        <w:t>C</w:t>
      </w:r>
      <w:r w:rsidR="00FE67E2">
        <w:rPr>
          <w:rFonts w:ascii="Arial" w:hAnsi="Arial" w:cs="Arial"/>
          <w:b/>
          <w:sz w:val="24"/>
          <w:szCs w:val="24"/>
          <w:u w:val="single"/>
        </w:rPr>
        <w:t xml:space="preserve">ER JURÍDICO - LEGISLATIVO Nº </w:t>
      </w:r>
      <w:r w:rsidR="001A1073">
        <w:rPr>
          <w:rFonts w:ascii="Arial" w:hAnsi="Arial" w:cs="Arial"/>
          <w:b/>
          <w:sz w:val="24"/>
          <w:szCs w:val="24"/>
          <w:u w:val="single"/>
        </w:rPr>
        <w:t>032</w:t>
      </w:r>
      <w:r w:rsidRPr="00876164">
        <w:rPr>
          <w:rFonts w:ascii="Arial" w:hAnsi="Arial" w:cs="Arial"/>
          <w:b/>
          <w:sz w:val="24"/>
          <w:szCs w:val="24"/>
          <w:u w:val="single"/>
        </w:rPr>
        <w:t>/2025</w:t>
      </w:r>
    </w:p>
    <w:tbl>
      <w:tblPr>
        <w:tblpPr w:leftFromText="141" w:rightFromText="141" w:vertAnchor="text" w:horzAnchor="margin" w:tblpXSpec="right" w:tblpY="438"/>
        <w:tblW w:w="4961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1735E3" w:rsidRPr="00876164" w:rsidTr="001735E3">
        <w:trPr>
          <w:trHeight w:val="12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5E3" w:rsidRPr="00876164" w:rsidRDefault="00B47734" w:rsidP="001A1073">
            <w:pPr>
              <w:pStyle w:val="SemEspaamento"/>
              <w:widowControl w:val="0"/>
              <w:tabs>
                <w:tab w:val="left" w:pos="3577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93C22">
              <w:rPr>
                <w:rFonts w:ascii="Arial" w:eastAsia="Courier New" w:hAnsi="Arial" w:cs="Arial"/>
                <w:b/>
              </w:rPr>
              <w:t xml:space="preserve">EMENTA. ANALISE JURÍDICA. PARECER </w:t>
            </w:r>
            <w:r>
              <w:rPr>
                <w:rFonts w:ascii="Arial" w:eastAsia="Courier New" w:hAnsi="Arial" w:cs="Arial"/>
                <w:b/>
              </w:rPr>
              <w:t xml:space="preserve">JURÍDICO LEGISLATIVO. PROJETO DE LEI </w:t>
            </w:r>
            <w:r w:rsidR="00FE67E2">
              <w:rPr>
                <w:rFonts w:ascii="Arial" w:eastAsia="Courier New" w:hAnsi="Arial" w:cs="Arial"/>
                <w:b/>
              </w:rPr>
              <w:t xml:space="preserve">AUTORIZA </w:t>
            </w:r>
            <w:r w:rsidR="001A1073">
              <w:rPr>
                <w:rFonts w:ascii="Arial" w:eastAsia="Courier New" w:hAnsi="Arial" w:cs="Arial"/>
                <w:b/>
              </w:rPr>
              <w:t xml:space="preserve">O EXECUTIVO A ABRIR CRÉDITOS SUPLEMENTARES NO VALOR QUE MENCIONA. </w:t>
            </w:r>
          </w:p>
        </w:tc>
      </w:tr>
    </w:tbl>
    <w:p w:rsidR="004F5946" w:rsidRPr="00876164" w:rsidRDefault="004F5946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Pr="00876164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Pr="00876164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Pr="00876164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90AD7" w:rsidRDefault="00990AD7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F5946" w:rsidRDefault="004F5946" w:rsidP="00876164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76164">
        <w:rPr>
          <w:rFonts w:ascii="Arial" w:hAnsi="Arial" w:cs="Arial"/>
          <w:b/>
          <w:sz w:val="24"/>
          <w:szCs w:val="24"/>
        </w:rPr>
        <w:t xml:space="preserve">RELATÓRIO </w:t>
      </w:r>
    </w:p>
    <w:p w:rsidR="00876164" w:rsidRPr="00876164" w:rsidRDefault="00876164" w:rsidP="00876164">
      <w:pPr>
        <w:pStyle w:val="PargrafodaLista"/>
        <w:widowControl/>
        <w:suppressAutoHyphens/>
        <w:autoSpaceDE/>
        <w:autoSpaceDN/>
        <w:spacing w:line="360" w:lineRule="auto"/>
        <w:ind w:left="720" w:firstLine="0"/>
        <w:contextualSpacing/>
        <w:rPr>
          <w:rFonts w:ascii="Arial" w:hAnsi="Arial" w:cs="Arial"/>
          <w:b/>
          <w:sz w:val="24"/>
          <w:szCs w:val="24"/>
        </w:rPr>
      </w:pPr>
    </w:p>
    <w:p w:rsidR="005A6AE4" w:rsidRPr="002315A0" w:rsidRDefault="005A6AE4" w:rsidP="00FE67E2">
      <w:pPr>
        <w:spacing w:after="12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5A0">
        <w:rPr>
          <w:rFonts w:ascii="Arial" w:hAnsi="Arial" w:cs="Arial"/>
          <w:color w:val="000000" w:themeColor="text1"/>
          <w:sz w:val="24"/>
          <w:szCs w:val="24"/>
        </w:rPr>
        <w:t xml:space="preserve">Foi encaminhado a esta E. Casa de Leis em </w:t>
      </w:r>
      <w:r w:rsidR="001A1073">
        <w:rPr>
          <w:rFonts w:ascii="Arial" w:hAnsi="Arial" w:cs="Arial"/>
          <w:color w:val="000000" w:themeColor="text1"/>
          <w:sz w:val="24"/>
          <w:szCs w:val="24"/>
        </w:rPr>
        <w:t>11</w:t>
      </w:r>
      <w:r w:rsidRPr="002315A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B0DDE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2315A0">
        <w:rPr>
          <w:rFonts w:ascii="Arial" w:hAnsi="Arial" w:cs="Arial"/>
          <w:color w:val="000000" w:themeColor="text1"/>
          <w:sz w:val="24"/>
          <w:szCs w:val="24"/>
        </w:rPr>
        <w:t xml:space="preserve"> de 2025, através da Mensagem </w:t>
      </w:r>
      <w:r w:rsidR="00FE67E2">
        <w:rPr>
          <w:rFonts w:ascii="Arial" w:hAnsi="Arial" w:cs="Arial"/>
          <w:color w:val="000000" w:themeColor="text1"/>
          <w:sz w:val="24"/>
          <w:szCs w:val="24"/>
        </w:rPr>
        <w:t>002</w:t>
      </w:r>
      <w:r w:rsidR="001A1073">
        <w:rPr>
          <w:rFonts w:ascii="Arial" w:hAnsi="Arial" w:cs="Arial"/>
          <w:color w:val="000000" w:themeColor="text1"/>
          <w:sz w:val="24"/>
          <w:szCs w:val="24"/>
        </w:rPr>
        <w:t>7</w:t>
      </w:r>
      <w:r w:rsidRPr="002315A0">
        <w:rPr>
          <w:rFonts w:ascii="Arial" w:hAnsi="Arial" w:cs="Arial"/>
          <w:color w:val="000000" w:themeColor="text1"/>
          <w:sz w:val="24"/>
          <w:szCs w:val="24"/>
        </w:rPr>
        <w:t>/202</w:t>
      </w:r>
      <w:r w:rsidR="007C768C" w:rsidRPr="002315A0">
        <w:rPr>
          <w:rFonts w:ascii="Arial" w:hAnsi="Arial" w:cs="Arial"/>
          <w:color w:val="000000" w:themeColor="text1"/>
          <w:sz w:val="24"/>
          <w:szCs w:val="24"/>
        </w:rPr>
        <w:t>5</w:t>
      </w:r>
      <w:r w:rsidRPr="002315A0">
        <w:rPr>
          <w:rFonts w:ascii="Arial" w:hAnsi="Arial" w:cs="Arial"/>
          <w:color w:val="000000" w:themeColor="text1"/>
          <w:sz w:val="24"/>
          <w:szCs w:val="24"/>
        </w:rPr>
        <w:t xml:space="preserve">, o Projeto de Lei nº </w:t>
      </w:r>
      <w:r w:rsidR="00FE67E2">
        <w:rPr>
          <w:rFonts w:ascii="Arial" w:hAnsi="Arial" w:cs="Arial"/>
          <w:color w:val="000000" w:themeColor="text1"/>
          <w:sz w:val="24"/>
          <w:szCs w:val="24"/>
        </w:rPr>
        <w:t>0</w:t>
      </w:r>
      <w:r w:rsidR="001A1073">
        <w:rPr>
          <w:rFonts w:ascii="Arial" w:hAnsi="Arial" w:cs="Arial"/>
          <w:color w:val="000000" w:themeColor="text1"/>
          <w:sz w:val="24"/>
          <w:szCs w:val="24"/>
        </w:rPr>
        <w:t>032</w:t>
      </w:r>
      <w:r w:rsidRPr="002315A0">
        <w:rPr>
          <w:rFonts w:ascii="Arial" w:hAnsi="Arial" w:cs="Arial"/>
          <w:color w:val="000000" w:themeColor="text1"/>
          <w:sz w:val="24"/>
          <w:szCs w:val="24"/>
        </w:rPr>
        <w:t xml:space="preserve">/2025 de autoria do Chefe do Poder Executivo </w:t>
      </w:r>
      <w:r w:rsidRPr="002315A0">
        <w:rPr>
          <w:rFonts w:ascii="Arial" w:eastAsia="Courier New" w:hAnsi="Arial" w:cs="Arial"/>
          <w:color w:val="000000" w:themeColor="text1"/>
          <w:sz w:val="24"/>
          <w:szCs w:val="24"/>
        </w:rPr>
        <w:t>que</w:t>
      </w:r>
      <w:r w:rsidR="003B0DDE">
        <w:rPr>
          <w:rFonts w:ascii="Arial" w:eastAsia="Courier New" w:hAnsi="Arial" w:cs="Arial"/>
          <w:color w:val="000000" w:themeColor="text1"/>
          <w:sz w:val="24"/>
          <w:szCs w:val="24"/>
        </w:rPr>
        <w:t xml:space="preserve"> </w:t>
      </w:r>
      <w:r w:rsidR="00FE67E2">
        <w:rPr>
          <w:rFonts w:ascii="Arial" w:eastAsia="Courier New" w:hAnsi="Arial" w:cs="Arial"/>
          <w:color w:val="000000" w:themeColor="text1"/>
          <w:sz w:val="24"/>
          <w:szCs w:val="24"/>
        </w:rPr>
        <w:t xml:space="preserve">autoriza o Poder Executivo </w:t>
      </w:r>
      <w:r w:rsidR="001A1073">
        <w:rPr>
          <w:rFonts w:ascii="Arial" w:eastAsia="Courier New" w:hAnsi="Arial" w:cs="Arial"/>
          <w:color w:val="000000" w:themeColor="text1"/>
          <w:sz w:val="24"/>
          <w:szCs w:val="24"/>
        </w:rPr>
        <w:t xml:space="preserve">a abrir créditos suplementares no valor de mais 25% do que fixado anteriormente. </w:t>
      </w:r>
    </w:p>
    <w:p w:rsidR="004F5946" w:rsidRPr="002315A0" w:rsidRDefault="004F5946" w:rsidP="0087616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5A0">
        <w:rPr>
          <w:rFonts w:ascii="Arial" w:hAnsi="Arial" w:cs="Arial"/>
          <w:color w:val="000000" w:themeColor="text1"/>
          <w:sz w:val="24"/>
          <w:szCs w:val="24"/>
        </w:rPr>
        <w:t xml:space="preserve">Assim, de acordo com as funções atinentes ao cargo de assessoria jurídica da Câmara Municipal de Duas Barras, será realizada a elaboração de parecer jurídico prévio. O presente parecer busca auxiliar aos vereadores, a Comissão de Constituição e Justiça e/ou Finanças e Orçamento, bem como quaisquer outras Comissões que devam se manifestar sobre a matéria, ressaltando-se que todas comissões gozam de total autonomia e independência em relação a este parecer. </w:t>
      </w:r>
    </w:p>
    <w:p w:rsidR="004F5946" w:rsidRPr="00876164" w:rsidRDefault="004F5946" w:rsidP="0087616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F5946" w:rsidRDefault="004F5946" w:rsidP="00876164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76164">
        <w:rPr>
          <w:rFonts w:ascii="Arial" w:hAnsi="Arial" w:cs="Arial"/>
          <w:b/>
          <w:sz w:val="24"/>
          <w:szCs w:val="24"/>
        </w:rPr>
        <w:t xml:space="preserve">DAS LIMITAÇÕES DO PARECER JURÍDICO </w:t>
      </w:r>
    </w:p>
    <w:p w:rsidR="00876164" w:rsidRPr="007024AE" w:rsidRDefault="00876164" w:rsidP="00876164">
      <w:pPr>
        <w:pStyle w:val="PargrafodaLista"/>
        <w:widowControl/>
        <w:suppressAutoHyphens/>
        <w:autoSpaceDE/>
        <w:autoSpaceDN/>
        <w:spacing w:line="360" w:lineRule="auto"/>
        <w:ind w:left="720" w:firstLine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F5946" w:rsidRPr="007024AE" w:rsidRDefault="004F5946" w:rsidP="00876164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024AE">
        <w:rPr>
          <w:rFonts w:ascii="Arial" w:hAnsi="Arial" w:cs="Arial"/>
          <w:b/>
          <w:sz w:val="24"/>
          <w:szCs w:val="24"/>
        </w:rPr>
        <w:t>Das limitações do presente parecer</w:t>
      </w:r>
    </w:p>
    <w:p w:rsidR="003B0DDE" w:rsidRPr="007024AE" w:rsidRDefault="003B0DDE" w:rsidP="003B0DDE">
      <w:pPr>
        <w:pStyle w:val="PargrafodaLista"/>
        <w:widowControl/>
        <w:suppressAutoHyphens/>
        <w:autoSpaceDE/>
        <w:autoSpaceDN/>
        <w:spacing w:line="360" w:lineRule="auto"/>
        <w:ind w:left="720" w:firstLine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F5946" w:rsidRPr="007024AE" w:rsidRDefault="004F5946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24AE">
        <w:rPr>
          <w:rFonts w:ascii="Arial" w:hAnsi="Arial" w:cs="Arial"/>
          <w:sz w:val="24"/>
          <w:szCs w:val="24"/>
        </w:rPr>
        <w:t xml:space="preserve">O presente parecer tem por objetivo tão somente informar sobre a legalidade, limitando-se a analisá-los à luz da Constituição Federal de 1988, da Lei Orgânica Municipal, do Regimento Interno, Legislação de regência e dos Princípios norteadores da Administração Pública, bem como exigências formais quanto a LRF, estando excluídas, </w:t>
      </w:r>
      <w:r w:rsidRPr="007024AE">
        <w:rPr>
          <w:rFonts w:ascii="Arial" w:hAnsi="Arial" w:cs="Arial"/>
          <w:sz w:val="24"/>
          <w:szCs w:val="24"/>
        </w:rPr>
        <w:lastRenderedPageBreak/>
        <w:t>entretanto, as análises que se baseiem em funções reservadas aos órgãos de controle interno e externo, bem como dos aspectos de mérito do ato administrativo e da direção das políticas públicas, bem como aquelas inerentes e exclusivas da função exercida pelo vereador.</w:t>
      </w:r>
    </w:p>
    <w:p w:rsidR="004F5946" w:rsidRPr="007024AE" w:rsidRDefault="004F5946" w:rsidP="0087616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24AE">
        <w:rPr>
          <w:rFonts w:ascii="Arial" w:hAnsi="Arial" w:cs="Arial"/>
          <w:sz w:val="24"/>
          <w:szCs w:val="24"/>
        </w:rPr>
        <w:t>O artigo 133, caput, da Constituição da República Federativa do Brasil de 1988 estabelece que "</w:t>
      </w:r>
      <w:r w:rsidRPr="007024AE">
        <w:rPr>
          <w:rFonts w:ascii="Arial" w:hAnsi="Arial" w:cs="Arial"/>
          <w:i/>
          <w:sz w:val="24"/>
          <w:szCs w:val="24"/>
        </w:rPr>
        <w:t>o advogado é indispensável à administração da justiça, sendo inviolável por seus atos e manifestações no exercício da profissão, nos limites da lei."</w:t>
      </w:r>
      <w:r w:rsidRPr="007024AE">
        <w:rPr>
          <w:rFonts w:ascii="Arial" w:hAnsi="Arial" w:cs="Arial"/>
          <w:sz w:val="24"/>
          <w:szCs w:val="24"/>
        </w:rPr>
        <w:t xml:space="preserve">  Seguindo esta linha de raciocínio, vale também citar o inciso I do artigo 7° da Lei federal nº 8.906/1994, que estabelece ser direito do advogado, dentre outros, </w:t>
      </w:r>
      <w:r w:rsidRPr="007024AE">
        <w:rPr>
          <w:rFonts w:ascii="Arial" w:hAnsi="Arial" w:cs="Arial"/>
          <w:i/>
          <w:sz w:val="24"/>
          <w:szCs w:val="24"/>
        </w:rPr>
        <w:t>"exercer, com liberdade, a profissão em todo o território nacional".</w:t>
      </w:r>
    </w:p>
    <w:p w:rsidR="004F5946" w:rsidRPr="007024AE" w:rsidRDefault="004F5946" w:rsidP="0087616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24AE">
        <w:rPr>
          <w:rFonts w:ascii="Arial" w:hAnsi="Arial" w:cs="Arial"/>
          <w:sz w:val="24"/>
          <w:szCs w:val="24"/>
        </w:rPr>
        <w:t xml:space="preserve">Registre-se que o parecer, apesar de sua importância, imparcialidade e técnica, não tem efeito vinculante, tampouco caráter decisório, tendo as autoridades legislativas plenos poderes para acolhê-lo, no todo ou em parte, ou rejeitá-lo. E assim nos ensina José de Carvalho Filho: </w:t>
      </w:r>
    </w:p>
    <w:p w:rsidR="004F5946" w:rsidRPr="007024AE" w:rsidRDefault="004F5946" w:rsidP="00876164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7024AE">
        <w:rPr>
          <w:rFonts w:ascii="Arial" w:hAnsi="Arial" w:cs="Arial"/>
          <w:sz w:val="24"/>
          <w:szCs w:val="24"/>
        </w:rPr>
        <w:t>"Os pareceres consubstanciam opiniões, pontos de vista de alguns agentes administrativos sobre matéria submetida à sua apreciação. (...) Refletindo um juízo de valor, uma opinião pessoal do parecerista, o parecer não vincula a autoridade que tem competência decisória, ou seja, aquela a quem cabe praticar o ato administrativo final. Trata-se de atos diversos - o parecer e o ato que o aprova ou rejeita. Como tais atos têm conteúdos antagônicos, o agente opina nunca poderá ser o que decide."</w:t>
      </w:r>
    </w:p>
    <w:p w:rsidR="004F5946" w:rsidRPr="007024AE" w:rsidRDefault="004F5946" w:rsidP="00876164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4F5946" w:rsidRPr="007024AE" w:rsidRDefault="004F5946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24AE">
        <w:rPr>
          <w:rFonts w:ascii="Arial" w:hAnsi="Arial" w:cs="Arial"/>
          <w:sz w:val="24"/>
          <w:szCs w:val="24"/>
        </w:rPr>
        <w:t>Outrossim, cumpre ressaltar que este parecer não substitui – em nenhum caso - a análise da(s) Comissão(ões) competente desta Casa Legislativa, nos termos do Regimento Interno da Câmara Municipal de Duas Barras – RJ.</w:t>
      </w:r>
    </w:p>
    <w:p w:rsidR="00B47734" w:rsidRPr="007024AE" w:rsidRDefault="00B47734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7734" w:rsidRPr="007024AE" w:rsidRDefault="00B47734" w:rsidP="00B47734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7024AE">
        <w:rPr>
          <w:rFonts w:ascii="Arial" w:hAnsi="Arial" w:cs="Arial"/>
          <w:b/>
          <w:sz w:val="24"/>
          <w:szCs w:val="24"/>
        </w:rPr>
        <w:t xml:space="preserve">DOS FUNDAMENTOS </w:t>
      </w:r>
    </w:p>
    <w:p w:rsidR="001A1073" w:rsidRDefault="001A1073" w:rsidP="001A10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1073" w:rsidRDefault="001A1073" w:rsidP="001A1073">
      <w:pPr>
        <w:spacing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shd w:val="clear" w:color="auto" w:fill="FBFBFB"/>
          <w:lang w:eastAsia="pt-BR"/>
        </w:rPr>
      </w:pPr>
      <w:r w:rsidRPr="001A1073">
        <w:rPr>
          <w:rFonts w:ascii="Arial" w:eastAsia="Times New Roman" w:hAnsi="Arial" w:cs="Arial"/>
          <w:sz w:val="24"/>
          <w:szCs w:val="24"/>
          <w:shd w:val="clear" w:color="auto" w:fill="FBFBFB"/>
          <w:lang w:eastAsia="pt-BR"/>
        </w:rPr>
        <w:t xml:space="preserve">Inicialmente, sempre importante destacar que o exame da Procuradoria Jurídica cinge-se tão-somente à matéria jurídica envolvida, nos termos da sua competência legal, tendo </w:t>
      </w:r>
      <w:r w:rsidRPr="001A1073">
        <w:rPr>
          <w:rFonts w:ascii="Arial" w:eastAsia="Times New Roman" w:hAnsi="Arial" w:cs="Arial"/>
          <w:sz w:val="24"/>
          <w:szCs w:val="24"/>
          <w:shd w:val="clear" w:color="auto" w:fill="FBFBFB"/>
          <w:lang w:eastAsia="pt-BR"/>
        </w:rPr>
        <w:lastRenderedPageBreak/>
        <w:t>por base os documentos juntados, razão pela qual não se incursiona em discussões de ordem técnica, contábil, bem como em questões que envolvam juízo de mérito sobre o tema trazido à apreciação, cuja análise é de exclusiva responsabilidade dos setores competentes.</w:t>
      </w:r>
    </w:p>
    <w:p w:rsidR="001A1073" w:rsidRDefault="001A1073" w:rsidP="001A1073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10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Constituição da República Federativa do Brasil de 1.988 dispõe, em seu artigo 24, as competências concorrentes, dentre as quais, o inciso I traz a competência legiferante sobre Direito Financeiro:</w:t>
      </w:r>
    </w:p>
    <w:p w:rsidR="001A1073" w:rsidRDefault="001A1073" w:rsidP="001A1073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073" w:rsidRPr="001A1073" w:rsidRDefault="001A1073" w:rsidP="001A1073">
      <w:pPr>
        <w:spacing w:line="360" w:lineRule="auto"/>
        <w:ind w:left="2835"/>
        <w:jc w:val="both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Art. 24. Compete à União, aos Estados e ao Distrito Federal legislar concorrentemente sobre: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br/>
        <w:t>I - direito tributário, </w:t>
      </w:r>
      <w:r w:rsidRPr="001A1073">
        <w:rPr>
          <w:rFonts w:ascii="Arial" w:eastAsia="Times New Roman" w:hAnsi="Arial" w:cs="Arial"/>
          <w:b/>
          <w:bCs/>
          <w:color w:val="000000"/>
          <w:sz w:val="20"/>
          <w:szCs w:val="24"/>
          <w:lang w:eastAsia="pt-BR"/>
        </w:rPr>
        <w:t>financeiro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, penitenciário, econômico e urbanístico;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br/>
        <w:t>(...)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br/>
        <w:t>§ 1º No âmbito da legislação concorrente, a competência da União limitar-se-á a estabelecer normas gerais.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br/>
        <w:t>§ 2º A competência da União para legislar sobre normas gerais não exclui a competência suplementar dos Estados.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br/>
        <w:t>§ 3º Inexistindo lei federal sobre normas gerais, os Estados exercerão a competência legislativa plena, para atender a suas peculiaridades.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br/>
        <w:t>§ 4º A superveniência de lei federal sobre normas gerais suspende a eficácia da lei estadual, no que lhe for contrário. – destacamos.</w:t>
      </w:r>
    </w:p>
    <w:p w:rsidR="001A1073" w:rsidRPr="001A1073" w:rsidRDefault="001A1073" w:rsidP="001A1073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1073">
        <w:rPr>
          <w:rFonts w:ascii="Arial" w:hAnsi="Arial" w:cs="Arial"/>
          <w:sz w:val="24"/>
          <w:szCs w:val="24"/>
        </w:rPr>
        <w:t xml:space="preserve">A iniciativa legislativa de projetos de lei que versem sobre a abertura de créditos adicionais é do </w:t>
      </w:r>
      <w:r w:rsidRPr="001A1073">
        <w:rPr>
          <w:rFonts w:ascii="Arial" w:hAnsi="Arial" w:cs="Arial"/>
          <w:b/>
          <w:sz w:val="24"/>
          <w:szCs w:val="24"/>
          <w:u w:val="single"/>
        </w:rPr>
        <w:t>Poder Executivo Municipal</w:t>
      </w:r>
      <w:r w:rsidRPr="001A1073">
        <w:rPr>
          <w:rFonts w:ascii="Arial" w:hAnsi="Arial" w:cs="Arial"/>
          <w:sz w:val="24"/>
          <w:szCs w:val="24"/>
        </w:rPr>
        <w:t>, vez que tal operação implica alteração da peça orçamentária referente ao exercício financeiro em curso. É certo que a abertura dos créditos suplementares e especiais depende da existência de recursos disponíveis para acorrer à despesa e será precedida de exposição justificativa (art. 43, caput, da LF 4.320/64).</w:t>
      </w:r>
    </w:p>
    <w:p w:rsidR="001A1073" w:rsidRP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1073">
        <w:rPr>
          <w:rFonts w:ascii="Arial" w:hAnsi="Arial" w:cs="Arial"/>
          <w:sz w:val="24"/>
          <w:szCs w:val="24"/>
        </w:rPr>
        <w:t>Quanto a abertura de crédito adicional especial e suplementar, a previsão legal está contida na Lei Federal nº 4.320, de 17 de março de 1964, que estatui normas gerais de direito financeiro.  A propósito, reza o artigo 41, II, da Lei Federal:</w:t>
      </w:r>
    </w:p>
    <w:p w:rsidR="001A1073" w:rsidRPr="001A1073" w:rsidRDefault="001A1073" w:rsidP="001A1073">
      <w:pPr>
        <w:pStyle w:val="PargrafodaLista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1A1073" w:rsidRPr="001A1073" w:rsidRDefault="001A1073" w:rsidP="001A1073">
      <w:pPr>
        <w:pStyle w:val="PargrafodaLista"/>
        <w:ind w:left="2835" w:firstLine="0"/>
        <w:jc w:val="both"/>
        <w:rPr>
          <w:rFonts w:ascii="Arial" w:hAnsi="Arial" w:cs="Arial"/>
          <w:sz w:val="20"/>
          <w:szCs w:val="24"/>
        </w:rPr>
      </w:pPr>
      <w:r w:rsidRPr="001A1073">
        <w:rPr>
          <w:rFonts w:ascii="Arial" w:hAnsi="Arial" w:cs="Arial"/>
          <w:sz w:val="20"/>
          <w:szCs w:val="24"/>
        </w:rPr>
        <w:t>“Art. 41. Os créditos adicionais classificam-se em:</w:t>
      </w:r>
    </w:p>
    <w:p w:rsidR="001A1073" w:rsidRPr="001A1073" w:rsidRDefault="001A1073" w:rsidP="001A1073">
      <w:pPr>
        <w:pStyle w:val="PargrafodaLista"/>
        <w:ind w:left="2835" w:firstLine="0"/>
        <w:jc w:val="both"/>
        <w:rPr>
          <w:rFonts w:ascii="Arial" w:hAnsi="Arial" w:cs="Arial"/>
          <w:sz w:val="20"/>
          <w:szCs w:val="24"/>
        </w:rPr>
      </w:pPr>
      <w:r w:rsidRPr="001A1073">
        <w:rPr>
          <w:rFonts w:ascii="Arial" w:hAnsi="Arial" w:cs="Arial"/>
          <w:sz w:val="20"/>
          <w:szCs w:val="24"/>
        </w:rPr>
        <w:t xml:space="preserve">I - </w:t>
      </w:r>
      <w:r w:rsidRPr="001A1073">
        <w:rPr>
          <w:rFonts w:ascii="Arial" w:hAnsi="Arial" w:cs="Arial"/>
          <w:b/>
          <w:sz w:val="20"/>
          <w:szCs w:val="24"/>
        </w:rPr>
        <w:t>suplementares</w:t>
      </w:r>
      <w:r w:rsidRPr="001A1073">
        <w:rPr>
          <w:rFonts w:ascii="Arial" w:hAnsi="Arial" w:cs="Arial"/>
          <w:sz w:val="20"/>
          <w:szCs w:val="24"/>
        </w:rPr>
        <w:t>, os destinados a reforço de dotação orçamentária;</w:t>
      </w:r>
    </w:p>
    <w:p w:rsidR="001A1073" w:rsidRPr="001A1073" w:rsidRDefault="001A1073" w:rsidP="001A1073">
      <w:pPr>
        <w:pStyle w:val="PargrafodaLista"/>
        <w:ind w:left="2835" w:firstLine="0"/>
        <w:jc w:val="both"/>
        <w:rPr>
          <w:rFonts w:ascii="Arial" w:hAnsi="Arial" w:cs="Arial"/>
          <w:sz w:val="20"/>
          <w:szCs w:val="24"/>
        </w:rPr>
      </w:pPr>
      <w:r w:rsidRPr="001A1073">
        <w:rPr>
          <w:rFonts w:ascii="Arial" w:hAnsi="Arial" w:cs="Arial"/>
          <w:sz w:val="20"/>
          <w:szCs w:val="24"/>
        </w:rPr>
        <w:t xml:space="preserve">II - </w:t>
      </w:r>
      <w:r w:rsidRPr="001A1073">
        <w:rPr>
          <w:rFonts w:ascii="Arial" w:hAnsi="Arial" w:cs="Arial"/>
          <w:b/>
          <w:sz w:val="20"/>
          <w:szCs w:val="24"/>
        </w:rPr>
        <w:t>especiais,</w:t>
      </w:r>
      <w:r w:rsidRPr="001A1073">
        <w:rPr>
          <w:rFonts w:ascii="Arial" w:hAnsi="Arial" w:cs="Arial"/>
          <w:sz w:val="20"/>
          <w:szCs w:val="24"/>
        </w:rPr>
        <w:t xml:space="preserve"> os destinados a despesas para as quais não haja dotação orçamentária específica;” (grifamos).  </w:t>
      </w:r>
    </w:p>
    <w:p w:rsidR="001A1073" w:rsidRDefault="001A1073" w:rsidP="001A107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1073">
        <w:rPr>
          <w:rFonts w:ascii="Arial" w:hAnsi="Arial" w:cs="Arial"/>
          <w:sz w:val="24"/>
          <w:szCs w:val="24"/>
        </w:rPr>
        <w:lastRenderedPageBreak/>
        <w:t>O dispositivo legal colacionado confere o necessário suporte para a realização de abertura de créd</w:t>
      </w:r>
      <w:r>
        <w:rPr>
          <w:rFonts w:ascii="Arial" w:hAnsi="Arial" w:cs="Arial"/>
          <w:sz w:val="24"/>
          <w:szCs w:val="24"/>
        </w:rPr>
        <w:t xml:space="preserve">itos adicionais suplementares </w:t>
      </w:r>
      <w:r w:rsidRPr="001A1073">
        <w:rPr>
          <w:rFonts w:ascii="Arial" w:hAnsi="Arial" w:cs="Arial"/>
          <w:sz w:val="24"/>
          <w:szCs w:val="24"/>
        </w:rPr>
        <w:t xml:space="preserve">para suprir gastos desprovidos da correspondente dotação orçamentária ou reforçar dotação orçamentária já existente, respectivamente. </w:t>
      </w:r>
    </w:p>
    <w:p w:rsidR="001A1073" w:rsidRPr="001A1073" w:rsidRDefault="001A1073" w:rsidP="001A1073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10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Ainda no aludido diploma normativo, o artigo 41, inciso I dispõe que o crédito suplementar é uma das modalidades de crédito adicional e destina-se ao reforço de dotação orçamentária:</w:t>
      </w:r>
    </w:p>
    <w:p w:rsidR="001A1073" w:rsidRPr="001A1073" w:rsidRDefault="001A1073" w:rsidP="001A1073">
      <w:pPr>
        <w:pStyle w:val="PargrafodaLista"/>
        <w:ind w:left="7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073" w:rsidRPr="001A1073" w:rsidRDefault="001A1073" w:rsidP="001A1073">
      <w:pPr>
        <w:pStyle w:val="PargrafodaLista"/>
        <w:ind w:left="2835" w:firstLine="0"/>
        <w:jc w:val="both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(...) ou seja, nos casos em que ele se faz present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e, houve previsão da despesa no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orçamento, </w:t>
      </w:r>
      <w:r w:rsidRPr="001A1073">
        <w:rPr>
          <w:rFonts w:ascii="Arial" w:eastAsia="Times New Roman" w:hAnsi="Arial" w:cs="Arial"/>
          <w:color w:val="000000"/>
          <w:sz w:val="20"/>
          <w:szCs w:val="24"/>
          <w:u w:val="single"/>
          <w:lang w:eastAsia="pt-BR"/>
        </w:rPr>
        <w:t>mas no curso da execução orçamentária provou-se que a referida previsão seria insuficiente para realizar todas as despesas necessárias.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 Daí, portanto, a necessidade de aumentar o nível das despesas e reforçar a previsão (dotação) anteriormente aprovada. De modo diverso, tanto os </w:t>
      </w:r>
      <w:r w:rsidRPr="001A1073">
        <w:rPr>
          <w:rFonts w:ascii="Arial" w:eastAsia="Times New Roman" w:hAnsi="Arial" w:cs="Arial"/>
          <w:b/>
          <w:bCs/>
          <w:color w:val="000000"/>
          <w:sz w:val="20"/>
          <w:szCs w:val="24"/>
          <w:lang w:eastAsia="pt-BR"/>
        </w:rPr>
        <w:t>créditos especiais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 quanto os</w:t>
      </w:r>
      <w:r w:rsidRPr="001A1073">
        <w:rPr>
          <w:rFonts w:ascii="Arial" w:eastAsia="Times New Roman" w:hAnsi="Arial" w:cs="Arial"/>
          <w:b/>
          <w:bCs/>
          <w:color w:val="000000"/>
          <w:sz w:val="20"/>
          <w:szCs w:val="24"/>
          <w:lang w:eastAsia="pt-BR"/>
        </w:rPr>
        <w:t> extraordinários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 caracterizam-se pelo fato de as despesas que devem ser autorizadas </w:t>
      </w:r>
      <w:r w:rsidRPr="001A1073">
        <w:rPr>
          <w:rFonts w:ascii="Arial" w:eastAsia="Times New Roman" w:hAnsi="Arial" w:cs="Arial"/>
          <w:b/>
          <w:bCs/>
          <w:color w:val="000000"/>
          <w:sz w:val="20"/>
          <w:szCs w:val="24"/>
          <w:lang w:eastAsia="pt-BR"/>
        </w:rPr>
        <w:t>não 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estarem, originalmente, computadas no orçamento. A diferença entre eles está, novamente, na motivação da autorização da despesa: os créditos especiais são destinados a atender </w:t>
      </w:r>
      <w:r w:rsidRPr="001A1073">
        <w:rPr>
          <w:rFonts w:ascii="Arial" w:eastAsia="Times New Roman" w:hAnsi="Arial" w:cs="Arial"/>
          <w:b/>
          <w:bCs/>
          <w:color w:val="000000"/>
          <w:sz w:val="20"/>
          <w:szCs w:val="24"/>
          <w:lang w:eastAsia="pt-BR"/>
        </w:rPr>
        <w:t>quaisquer despesas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 para as quais não haja dotação orçamentária, enquanto os créditos extraordinários são aqueles que devem ser utilizados tão somente para atender despesas</w:t>
      </w:r>
      <w:r w:rsidRPr="001A1073">
        <w:rPr>
          <w:rFonts w:ascii="Arial" w:eastAsia="Times New Roman" w:hAnsi="Arial" w:cs="Arial"/>
          <w:b/>
          <w:bCs/>
          <w:color w:val="000000"/>
          <w:sz w:val="20"/>
          <w:szCs w:val="24"/>
          <w:lang w:eastAsia="pt-BR"/>
        </w:rPr>
        <w:t> urgentes e imprevistas</w:t>
      </w:r>
      <w:r w:rsidRPr="001A1073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, decorrentes de guerra, comoção interna ou calamidade pública. (...)(Piscitelli, Tathiane. Direito Financeiro. 6. ed. Rio de Janeiro: Forense, São Paulo: MÉTODO, 2018, p. 105).</w:t>
      </w:r>
    </w:p>
    <w:p w:rsidR="001A1073" w:rsidRPr="001A1073" w:rsidRDefault="001A1073" w:rsidP="001A1073">
      <w:pPr>
        <w:pStyle w:val="PargrafodaLista"/>
        <w:ind w:left="7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073" w:rsidRPr="001A1073" w:rsidRDefault="001A1073" w:rsidP="001A1073">
      <w:pPr>
        <w:spacing w:after="120"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pt-BR" w:eastAsia="pt-BR"/>
        </w:rPr>
      </w:pPr>
      <w:r w:rsidRPr="001A1073">
        <w:rPr>
          <w:rFonts w:ascii="Arial" w:hAnsi="Arial" w:cs="Arial"/>
          <w:sz w:val="24"/>
          <w:szCs w:val="24"/>
        </w:rPr>
        <w:t xml:space="preserve">A justificativa apresentada na mensagem se relaciona </w:t>
      </w:r>
      <w:proofErr w:type="spellStart"/>
      <w:r w:rsidRPr="001A1073">
        <w:rPr>
          <w:rFonts w:ascii="Arial" w:eastAsia="Times New Roman" w:hAnsi="Arial" w:cs="Arial"/>
          <w:sz w:val="24"/>
          <w:szCs w:val="24"/>
          <w:lang w:val="pt-BR" w:eastAsia="pt-BR"/>
        </w:rPr>
        <w:t>à</w:t>
      </w:r>
      <w:proofErr w:type="spellEnd"/>
      <w:r w:rsidRPr="001A107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necessidade de adequar a execução orçamentária às demandas reais da Administração Municipal. </w:t>
      </w:r>
      <w:r w:rsidRPr="001A1073">
        <w:rPr>
          <w:rFonts w:ascii="Arial" w:eastAsia="Times New Roman" w:hAnsi="Arial" w:cs="Arial"/>
          <w:b/>
          <w:sz w:val="24"/>
          <w:szCs w:val="24"/>
          <w:u w:val="single"/>
          <w:lang w:val="pt-BR" w:eastAsia="pt-BR"/>
        </w:rPr>
        <w:t xml:space="preserve">Argumenta-se que a peça orçamentária atual foi elaborada pela gestão anterior e não contempla as ações e prioridades da gestão em curso. </w:t>
      </w:r>
    </w:p>
    <w:p w:rsidR="001A1073" w:rsidRPr="001A1073" w:rsidRDefault="001A1073" w:rsidP="001A1073">
      <w:pPr>
        <w:spacing w:after="12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A107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Destaca-se que, apesar da autorização inicial de 50% (englobando hipóteses de anulação de dotações, excesso de arrecadação e superávit financeiro), tal margem – de acordo com a justificativa apresentada - mostrou-se insuficiente diante da dinâmica das necessidades municipais, especialmente quanto às ações essenciais e obrigatórias. </w:t>
      </w:r>
    </w:p>
    <w:p w:rsidR="001A1073" w:rsidRPr="001A1073" w:rsidRDefault="001A1073" w:rsidP="001A1073">
      <w:pPr>
        <w:spacing w:after="12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1A1073">
        <w:rPr>
          <w:rFonts w:ascii="Arial" w:eastAsia="Times New Roman" w:hAnsi="Arial" w:cs="Arial"/>
          <w:sz w:val="24"/>
          <w:szCs w:val="24"/>
          <w:lang w:val="pt-BR" w:eastAsia="pt-BR"/>
        </w:rPr>
        <w:t>Assim, a ampliação do percentual permitirá continuidade de programas e projetos, garantindo a adequada execução das políticas públicas e evitando interrupções até o encerramento do exercício financeiro de 2025, além de contribuir para o equilíbrio fiscal e boa gestão das contas públicas.</w:t>
      </w:r>
    </w:p>
    <w:p w:rsid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Uma </w:t>
      </w:r>
      <w:r w:rsidRPr="001A1073">
        <w:rPr>
          <w:rFonts w:ascii="Arial" w:hAnsi="Arial" w:cs="Arial"/>
          <w:sz w:val="24"/>
          <w:szCs w:val="24"/>
        </w:rPr>
        <w:t xml:space="preserve">das exigências da Lei Orgânica do Município para aprovação de projeto de lei que busque a abertura de créditos suplementares ou especiais deverão indicar os recursos orçamentários correspondentes, conforme prevê expressamente o art. 176, inciso V da Lei Orgânica Municipal. </w:t>
      </w:r>
    </w:p>
    <w:p w:rsid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1073">
        <w:rPr>
          <w:rFonts w:ascii="Arial" w:hAnsi="Arial" w:cs="Arial"/>
          <w:sz w:val="24"/>
          <w:szCs w:val="24"/>
        </w:rPr>
        <w:t>Importante deixar registrado ainda, a mesma opinião exarada por essa assessoria jurídica quando da aprovação da Lei Orçamentária Anual, que se refere ao percentual de suplemen</w:t>
      </w:r>
      <w:r>
        <w:rPr>
          <w:rFonts w:ascii="Arial" w:hAnsi="Arial" w:cs="Arial"/>
          <w:sz w:val="24"/>
          <w:szCs w:val="24"/>
        </w:rPr>
        <w:t>tação aprovado no texto da LOA.</w:t>
      </w:r>
    </w:p>
    <w:p w:rsidR="001A1073" w:rsidRDefault="001A1073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A1073">
        <w:rPr>
          <w:rFonts w:ascii="Arial" w:hAnsi="Arial" w:cs="Arial"/>
          <w:sz w:val="24"/>
          <w:szCs w:val="24"/>
        </w:rPr>
        <w:t xml:space="preserve">Isso porque, é de praxe do Poder Executivo solicitar a aprovação de 50% do orçamento fiscal, o que ao nosso sentir, trata-se de percentual desarrazoado e que fere diversos princípios orçamentários, o mais importantes dele: </w:t>
      </w:r>
      <w:r w:rsidRPr="001A1073">
        <w:rPr>
          <w:rFonts w:ascii="Arial" w:hAnsi="Arial" w:cs="Arial"/>
          <w:b/>
          <w:sz w:val="24"/>
          <w:szCs w:val="24"/>
          <w:u w:val="single"/>
        </w:rPr>
        <w:t xml:space="preserve">o planejamento orçamentário, </w:t>
      </w:r>
      <w:r w:rsidRPr="001A1073">
        <w:rPr>
          <w:rFonts w:ascii="Arial" w:hAnsi="Arial" w:cs="Arial"/>
          <w:sz w:val="24"/>
          <w:szCs w:val="24"/>
        </w:rPr>
        <w:t>isso porque, um percentual 50% demonstra grau de liberdade de movimentação das dotações orçamentárias que, se levados à efetiva utilização, resultarão em um orçamento totalmente em desacordo com a LOA aprovada inicialmente.</w:t>
      </w:r>
    </w:p>
    <w:p w:rsidR="00B5170B" w:rsidRPr="001A1073" w:rsidRDefault="00B5170B" w:rsidP="001A1073">
      <w:pPr>
        <w:spacing w:after="12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5454DD" w:rsidRPr="00B47734" w:rsidRDefault="005454DD" w:rsidP="00B47734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</w:rPr>
      </w:pPr>
      <w:r w:rsidRPr="00B47734">
        <w:rPr>
          <w:rFonts w:ascii="Arial" w:hAnsi="Arial" w:cs="Arial"/>
          <w:b/>
        </w:rPr>
        <w:t xml:space="preserve">CONCLUSÃO  </w:t>
      </w:r>
    </w:p>
    <w:p w:rsidR="00876164" w:rsidRPr="00876164" w:rsidRDefault="00876164" w:rsidP="00876164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</w:rPr>
      </w:pPr>
    </w:p>
    <w:p w:rsidR="003D3FD5" w:rsidRPr="00876164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76164">
        <w:rPr>
          <w:rFonts w:ascii="Arial" w:hAnsi="Arial" w:cs="Arial"/>
        </w:rPr>
        <w:t>A)</w:t>
      </w:r>
      <w:r w:rsidRPr="00876164">
        <w:rPr>
          <w:rFonts w:ascii="Arial" w:hAnsi="Arial" w:cs="Arial"/>
        </w:rPr>
        <w:tab/>
        <w:t xml:space="preserve">OPINO pela possibilidade de prosseguimento do Projeto de Lei nº </w:t>
      </w:r>
      <w:r w:rsidR="00B5170B">
        <w:rPr>
          <w:rFonts w:ascii="Arial" w:hAnsi="Arial" w:cs="Arial"/>
        </w:rPr>
        <w:t>032</w:t>
      </w:r>
      <w:r>
        <w:rPr>
          <w:rFonts w:ascii="Arial" w:hAnsi="Arial" w:cs="Arial"/>
        </w:rPr>
        <w:t>/2025</w:t>
      </w:r>
      <w:r w:rsidRPr="00876164">
        <w:rPr>
          <w:rFonts w:ascii="Arial" w:hAnsi="Arial" w:cs="Arial"/>
        </w:rPr>
        <w:t xml:space="preserve">, devendo o mesmo ser analisado pelas </w:t>
      </w:r>
      <w:r w:rsidRPr="009F6353">
        <w:rPr>
          <w:rFonts w:ascii="Arial" w:hAnsi="Arial" w:cs="Arial"/>
          <w:b/>
        </w:rPr>
        <w:t>Comissão de Constituição</w:t>
      </w:r>
      <w:r>
        <w:rPr>
          <w:rFonts w:ascii="Arial" w:hAnsi="Arial" w:cs="Arial"/>
          <w:b/>
        </w:rPr>
        <w:t xml:space="preserve"> Justiça e Redação Final – CCJ</w:t>
      </w:r>
      <w:r w:rsidR="00B5170B">
        <w:rPr>
          <w:rFonts w:ascii="Arial" w:hAnsi="Arial" w:cs="Arial"/>
          <w:b/>
        </w:rPr>
        <w:t xml:space="preserve"> e Comissão de Finanças e Orçamento</w:t>
      </w:r>
      <w:r>
        <w:rPr>
          <w:rFonts w:ascii="Arial" w:hAnsi="Arial" w:cs="Arial"/>
        </w:rPr>
        <w:t xml:space="preserve">, </w:t>
      </w:r>
      <w:r w:rsidRPr="00876164">
        <w:rPr>
          <w:rFonts w:ascii="Arial" w:hAnsi="Arial" w:cs="Arial"/>
        </w:rPr>
        <w:t>para decisão independente sobre a constitucionalidade do projet</w:t>
      </w:r>
      <w:r w:rsidR="00B5170B">
        <w:rPr>
          <w:rFonts w:ascii="Arial" w:hAnsi="Arial" w:cs="Arial"/>
        </w:rPr>
        <w:t xml:space="preserve">o, após sua leitura em plenário, cabendo a decisão de mérito quanto ao percentual aplicado ser decidida em Plenário. </w:t>
      </w:r>
    </w:p>
    <w:p w:rsidR="003D3FD5" w:rsidRPr="00876164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3D3FD5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76164">
        <w:rPr>
          <w:rFonts w:ascii="Arial" w:hAnsi="Arial" w:cs="Arial"/>
        </w:rPr>
        <w:t>Este é o parecer.</w:t>
      </w:r>
    </w:p>
    <w:p w:rsidR="003D3FD5" w:rsidRPr="00876164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3D3FD5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76164">
        <w:rPr>
          <w:rFonts w:ascii="Arial" w:hAnsi="Arial" w:cs="Arial"/>
        </w:rPr>
        <w:t xml:space="preserve">Duas Barras, </w:t>
      </w:r>
      <w:r w:rsidR="00B5170B">
        <w:rPr>
          <w:rFonts w:ascii="Arial" w:hAnsi="Arial" w:cs="Arial"/>
        </w:rPr>
        <w:t>20</w:t>
      </w:r>
      <w:r w:rsidRPr="00876164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Agosto</w:t>
      </w:r>
      <w:proofErr w:type="gramEnd"/>
      <w:r>
        <w:rPr>
          <w:rFonts w:ascii="Arial" w:hAnsi="Arial" w:cs="Arial"/>
        </w:rPr>
        <w:t xml:space="preserve"> </w:t>
      </w:r>
      <w:r w:rsidRPr="00876164">
        <w:rPr>
          <w:rFonts w:ascii="Arial" w:hAnsi="Arial" w:cs="Arial"/>
        </w:rPr>
        <w:t xml:space="preserve">de 2025. </w:t>
      </w:r>
    </w:p>
    <w:p w:rsidR="003D3FD5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3D3FD5" w:rsidRPr="002978EE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  <w:color w:val="FF0000"/>
          <w:sz w:val="22"/>
        </w:rPr>
      </w:pPr>
      <w:r w:rsidRPr="002978EE">
        <w:rPr>
          <w:rFonts w:ascii="Arial" w:hAnsi="Arial" w:cs="Arial"/>
          <w:b/>
          <w:color w:val="FF0000"/>
          <w:sz w:val="22"/>
        </w:rPr>
        <w:t>ASSINADO DIGITALMENTE</w:t>
      </w:r>
    </w:p>
    <w:p w:rsidR="003D3FD5" w:rsidRPr="00876164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 xml:space="preserve">Thaís </w:t>
      </w:r>
      <w:proofErr w:type="spellStart"/>
      <w:r w:rsidRPr="00876164">
        <w:rPr>
          <w:rFonts w:ascii="Arial" w:hAnsi="Arial" w:cs="Arial"/>
          <w:b/>
        </w:rPr>
        <w:t>Cosendey</w:t>
      </w:r>
      <w:proofErr w:type="spellEnd"/>
      <w:r w:rsidRPr="00876164">
        <w:rPr>
          <w:rFonts w:ascii="Arial" w:hAnsi="Arial" w:cs="Arial"/>
          <w:b/>
        </w:rPr>
        <w:t xml:space="preserve"> </w:t>
      </w:r>
      <w:proofErr w:type="spellStart"/>
      <w:r w:rsidRPr="00876164">
        <w:rPr>
          <w:rFonts w:ascii="Arial" w:hAnsi="Arial" w:cs="Arial"/>
          <w:b/>
        </w:rPr>
        <w:t>Campanate</w:t>
      </w:r>
      <w:proofErr w:type="spellEnd"/>
    </w:p>
    <w:p w:rsidR="003D3FD5" w:rsidRPr="00876164" w:rsidRDefault="003D3FD5" w:rsidP="003D3FD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>Assessora Jurídica da Câmara Municipal de Duas Barras</w:t>
      </w:r>
    </w:p>
    <w:p w:rsidR="005506EE" w:rsidRPr="00876164" w:rsidRDefault="003D3FD5" w:rsidP="00B5170B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>Mat. 90188 – OAB/RJ 219.670</w:t>
      </w:r>
      <w:bookmarkStart w:id="0" w:name="_GoBack"/>
      <w:bookmarkEnd w:id="0"/>
    </w:p>
    <w:sectPr w:rsidR="005506EE" w:rsidRPr="00876164" w:rsidSect="00255632">
      <w:headerReference w:type="default" r:id="rId8"/>
      <w:footerReference w:type="default" r:id="rId9"/>
      <w:pgSz w:w="11910" w:h="16840"/>
      <w:pgMar w:top="2000" w:right="840" w:bottom="1680" w:left="1420" w:header="204" w:footer="14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EE" w:rsidRDefault="005506EE" w:rsidP="005506EE">
      <w:r>
        <w:separator/>
      </w:r>
    </w:p>
  </w:endnote>
  <w:endnote w:type="continuationSeparator" w:id="0">
    <w:p w:rsidR="005506EE" w:rsidRDefault="005506EE" w:rsidP="0055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6EE" w:rsidRDefault="00FB0DA5">
    <w:pPr>
      <w:pStyle w:val="Corpodetexto"/>
      <w:spacing w:line="14" w:lineRule="auto"/>
      <w:rPr>
        <w:sz w:val="20"/>
      </w:rPr>
    </w:pPr>
    <w:r w:rsidRPr="00FB0DA5"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-301600</wp:posOffset>
          </wp:positionH>
          <wp:positionV relativeFrom="paragraph">
            <wp:posOffset>47422</wp:posOffset>
          </wp:positionV>
          <wp:extent cx="4777181" cy="819302"/>
          <wp:effectExtent l="19050" t="0" r="4369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7181" cy="819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EE" w:rsidRDefault="005506EE" w:rsidP="005506EE">
      <w:r>
        <w:separator/>
      </w:r>
    </w:p>
  </w:footnote>
  <w:footnote w:type="continuationSeparator" w:id="0">
    <w:p w:rsidR="005506EE" w:rsidRDefault="005506EE" w:rsidP="0055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-33020</wp:posOffset>
          </wp:positionV>
          <wp:extent cx="839470" cy="952500"/>
          <wp:effectExtent l="0" t="0" r="0" b="0"/>
          <wp:wrapTight wrapText="bothSides">
            <wp:wrapPolygon edited="0">
              <wp:start x="6372" y="0"/>
              <wp:lineTo x="3431" y="1728"/>
              <wp:lineTo x="490" y="5616"/>
              <wp:lineTo x="490" y="19008"/>
              <wp:lineTo x="1961" y="20736"/>
              <wp:lineTo x="7352" y="21168"/>
              <wp:lineTo x="13725" y="21168"/>
              <wp:lineTo x="18136" y="20736"/>
              <wp:lineTo x="21077" y="18144"/>
              <wp:lineTo x="20587" y="6048"/>
              <wp:lineTo x="17156" y="1728"/>
              <wp:lineTo x="14705" y="0"/>
              <wp:lineTo x="6372" y="0"/>
            </wp:wrapPolygon>
          </wp:wrapTight>
          <wp:docPr id="19" name="Imagem 19" descr="Símbolos Municipais – Prefeitura de Duas Bar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Municipais – Prefeitura de Duas Barr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</w:p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</w:p>
  <w:p w:rsidR="00E1507E" w:rsidRDefault="003B0DD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noProof/>
      </w:rPr>
    </w:pPr>
    <w:r>
      <w:rPr>
        <w:rFonts w:ascii="Footlight MT Light" w:eastAsia="FangSong" w:hAnsi="Footlight MT Light"/>
        <w:szCs w:val="28"/>
      </w:rPr>
      <w:t xml:space="preserve">                    </w:t>
    </w:r>
    <w:r w:rsidR="00E1507E" w:rsidRPr="00C44418">
      <w:rPr>
        <w:rFonts w:ascii="Footlight MT Light" w:eastAsia="FangSong" w:hAnsi="Footlight MT Light"/>
        <w:szCs w:val="28"/>
      </w:rPr>
      <w:t xml:space="preserve">Estado do Rio de Janeiro         </w:t>
    </w:r>
  </w:p>
  <w:p w:rsidR="00E1507E" w:rsidRDefault="003B0DD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  <w:r>
      <w:rPr>
        <w:rFonts w:ascii="Footlight MT Light" w:eastAsia="FangSong" w:hAnsi="Footlight MT Light"/>
        <w:b/>
        <w:szCs w:val="28"/>
      </w:rPr>
      <w:t xml:space="preserve">                    </w:t>
    </w:r>
    <w:r w:rsidR="00E1507E" w:rsidRPr="00C44418">
      <w:rPr>
        <w:rFonts w:ascii="Footlight MT Light" w:eastAsia="FangSong" w:hAnsi="Footlight MT Light"/>
        <w:b/>
        <w:szCs w:val="28"/>
      </w:rPr>
      <w:t>Câmara Municipal de Duas Barras</w:t>
    </w:r>
  </w:p>
  <w:p w:rsidR="004F5946" w:rsidRDefault="003B0DD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  <w:r>
      <w:rPr>
        <w:rFonts w:ascii="Footlight MT Light" w:eastAsia="FangSong" w:hAnsi="Footlight MT Light"/>
        <w:b/>
        <w:szCs w:val="28"/>
      </w:rPr>
      <w:t xml:space="preserve">                    </w:t>
    </w:r>
    <w:r w:rsidR="005A6AE4">
      <w:rPr>
        <w:rFonts w:ascii="Footlight MT Light" w:eastAsia="FangSong" w:hAnsi="Footlight MT Light"/>
        <w:b/>
        <w:szCs w:val="28"/>
      </w:rPr>
      <w:t>P</w:t>
    </w:r>
    <w:r w:rsidR="004F5946">
      <w:rPr>
        <w:rFonts w:ascii="Footlight MT Light" w:eastAsia="FangSong" w:hAnsi="Footlight MT Light"/>
        <w:b/>
        <w:szCs w:val="28"/>
      </w:rPr>
      <w:t>rocuradoria Jurídica</w:t>
    </w:r>
  </w:p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4C3"/>
    <w:multiLevelType w:val="hybridMultilevel"/>
    <w:tmpl w:val="E5D82084"/>
    <w:lvl w:ilvl="0" w:tplc="F2DEB2EC">
      <w:start w:val="1"/>
      <w:numFmt w:val="decimal"/>
      <w:lvlText w:val="%1."/>
      <w:lvlJc w:val="left"/>
      <w:pPr>
        <w:ind w:left="1682" w:hanging="1215"/>
      </w:pPr>
      <w:rPr>
        <w:rFonts w:ascii="Trebuchet MS" w:eastAsia="Trebuchet MS" w:hAnsi="Trebuchet MS" w:cs="Trebuchet MS" w:hint="default"/>
        <w:spacing w:val="-1"/>
        <w:w w:val="97"/>
        <w:sz w:val="20"/>
        <w:szCs w:val="20"/>
        <w:lang w:val="pt-PT" w:eastAsia="en-US" w:bidi="ar-SA"/>
      </w:rPr>
    </w:lvl>
    <w:lvl w:ilvl="1" w:tplc="86A6011C">
      <w:numFmt w:val="bullet"/>
      <w:lvlText w:val="•"/>
      <w:lvlJc w:val="left"/>
      <w:pPr>
        <w:ind w:left="2476" w:hanging="1215"/>
      </w:pPr>
      <w:rPr>
        <w:rFonts w:hint="default"/>
        <w:lang w:val="pt-PT" w:eastAsia="en-US" w:bidi="ar-SA"/>
      </w:rPr>
    </w:lvl>
    <w:lvl w:ilvl="2" w:tplc="0FC2E7F6">
      <w:numFmt w:val="bullet"/>
      <w:lvlText w:val="•"/>
      <w:lvlJc w:val="left"/>
      <w:pPr>
        <w:ind w:left="3273" w:hanging="1215"/>
      </w:pPr>
      <w:rPr>
        <w:rFonts w:hint="default"/>
        <w:lang w:val="pt-PT" w:eastAsia="en-US" w:bidi="ar-SA"/>
      </w:rPr>
    </w:lvl>
    <w:lvl w:ilvl="3" w:tplc="82CE82D4">
      <w:numFmt w:val="bullet"/>
      <w:lvlText w:val="•"/>
      <w:lvlJc w:val="left"/>
      <w:pPr>
        <w:ind w:left="4069" w:hanging="1215"/>
      </w:pPr>
      <w:rPr>
        <w:rFonts w:hint="default"/>
        <w:lang w:val="pt-PT" w:eastAsia="en-US" w:bidi="ar-SA"/>
      </w:rPr>
    </w:lvl>
    <w:lvl w:ilvl="4" w:tplc="64F8FF06">
      <w:numFmt w:val="bullet"/>
      <w:lvlText w:val="•"/>
      <w:lvlJc w:val="left"/>
      <w:pPr>
        <w:ind w:left="4866" w:hanging="1215"/>
      </w:pPr>
      <w:rPr>
        <w:rFonts w:hint="default"/>
        <w:lang w:val="pt-PT" w:eastAsia="en-US" w:bidi="ar-SA"/>
      </w:rPr>
    </w:lvl>
    <w:lvl w:ilvl="5" w:tplc="258E39CA">
      <w:numFmt w:val="bullet"/>
      <w:lvlText w:val="•"/>
      <w:lvlJc w:val="left"/>
      <w:pPr>
        <w:ind w:left="5663" w:hanging="1215"/>
      </w:pPr>
      <w:rPr>
        <w:rFonts w:hint="default"/>
        <w:lang w:val="pt-PT" w:eastAsia="en-US" w:bidi="ar-SA"/>
      </w:rPr>
    </w:lvl>
    <w:lvl w:ilvl="6" w:tplc="6D5E452A">
      <w:numFmt w:val="bullet"/>
      <w:lvlText w:val="•"/>
      <w:lvlJc w:val="left"/>
      <w:pPr>
        <w:ind w:left="6459" w:hanging="1215"/>
      </w:pPr>
      <w:rPr>
        <w:rFonts w:hint="default"/>
        <w:lang w:val="pt-PT" w:eastAsia="en-US" w:bidi="ar-SA"/>
      </w:rPr>
    </w:lvl>
    <w:lvl w:ilvl="7" w:tplc="B0F09A5E">
      <w:numFmt w:val="bullet"/>
      <w:lvlText w:val="•"/>
      <w:lvlJc w:val="left"/>
      <w:pPr>
        <w:ind w:left="7256" w:hanging="1215"/>
      </w:pPr>
      <w:rPr>
        <w:rFonts w:hint="default"/>
        <w:lang w:val="pt-PT" w:eastAsia="en-US" w:bidi="ar-SA"/>
      </w:rPr>
    </w:lvl>
    <w:lvl w:ilvl="8" w:tplc="6E761BAA">
      <w:numFmt w:val="bullet"/>
      <w:lvlText w:val="•"/>
      <w:lvlJc w:val="left"/>
      <w:pPr>
        <w:ind w:left="8052" w:hanging="1215"/>
      </w:pPr>
      <w:rPr>
        <w:rFonts w:hint="default"/>
        <w:lang w:val="pt-PT" w:eastAsia="en-US" w:bidi="ar-SA"/>
      </w:rPr>
    </w:lvl>
  </w:abstractNum>
  <w:abstractNum w:abstractNumId="1" w15:restartNumberingAfterBreak="0">
    <w:nsid w:val="1B611C34"/>
    <w:multiLevelType w:val="multilevel"/>
    <w:tmpl w:val="3676CF4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CED70A7"/>
    <w:multiLevelType w:val="multilevel"/>
    <w:tmpl w:val="2118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9201E"/>
    <w:multiLevelType w:val="hybridMultilevel"/>
    <w:tmpl w:val="BC2A4ACC"/>
    <w:lvl w:ilvl="0" w:tplc="178A8AF8">
      <w:numFmt w:val="bullet"/>
      <w:lvlText w:val="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6F62"/>
    <w:multiLevelType w:val="hybridMultilevel"/>
    <w:tmpl w:val="A820417E"/>
    <w:lvl w:ilvl="0" w:tplc="E288F8F0">
      <w:start w:val="1"/>
      <w:numFmt w:val="upperRoman"/>
      <w:lvlText w:val="%1."/>
      <w:lvlJc w:val="left"/>
      <w:pPr>
        <w:ind w:left="2410" w:hanging="1160"/>
      </w:pPr>
      <w:rPr>
        <w:rFonts w:ascii="Trebuchet MS" w:eastAsia="Trebuchet MS" w:hAnsi="Trebuchet MS" w:cs="Trebuchet MS" w:hint="default"/>
        <w:spacing w:val="-1"/>
        <w:w w:val="67"/>
        <w:sz w:val="28"/>
        <w:szCs w:val="28"/>
        <w:lang w:val="pt-PT" w:eastAsia="en-US" w:bidi="ar-SA"/>
      </w:rPr>
    </w:lvl>
    <w:lvl w:ilvl="1" w:tplc="B1C8FA20">
      <w:start w:val="3"/>
      <w:numFmt w:val="upperRoman"/>
      <w:lvlText w:val="%2"/>
      <w:lvlJc w:val="left"/>
      <w:pPr>
        <w:ind w:left="3514" w:hanging="231"/>
      </w:pPr>
      <w:rPr>
        <w:rFonts w:hint="default"/>
        <w:b/>
        <w:bCs/>
        <w:i/>
        <w:iCs/>
        <w:w w:val="100"/>
        <w:lang w:val="pt-PT" w:eastAsia="en-US" w:bidi="ar-SA"/>
      </w:rPr>
    </w:lvl>
    <w:lvl w:ilvl="2" w:tplc="5044CA30">
      <w:numFmt w:val="bullet"/>
      <w:lvlText w:val="•"/>
      <w:lvlJc w:val="left"/>
      <w:pPr>
        <w:ind w:left="4200" w:hanging="231"/>
      </w:pPr>
      <w:rPr>
        <w:rFonts w:hint="default"/>
        <w:lang w:val="pt-PT" w:eastAsia="en-US" w:bidi="ar-SA"/>
      </w:rPr>
    </w:lvl>
    <w:lvl w:ilvl="3" w:tplc="3E34A8C6">
      <w:numFmt w:val="bullet"/>
      <w:lvlText w:val="•"/>
      <w:lvlJc w:val="left"/>
      <w:pPr>
        <w:ind w:left="4881" w:hanging="231"/>
      </w:pPr>
      <w:rPr>
        <w:rFonts w:hint="default"/>
        <w:lang w:val="pt-PT" w:eastAsia="en-US" w:bidi="ar-SA"/>
      </w:rPr>
    </w:lvl>
    <w:lvl w:ilvl="4" w:tplc="454E4C44">
      <w:numFmt w:val="bullet"/>
      <w:lvlText w:val="•"/>
      <w:lvlJc w:val="left"/>
      <w:pPr>
        <w:ind w:left="5562" w:hanging="231"/>
      </w:pPr>
      <w:rPr>
        <w:rFonts w:hint="default"/>
        <w:lang w:val="pt-PT" w:eastAsia="en-US" w:bidi="ar-SA"/>
      </w:rPr>
    </w:lvl>
    <w:lvl w:ilvl="5" w:tplc="64B62104">
      <w:numFmt w:val="bullet"/>
      <w:lvlText w:val="•"/>
      <w:lvlJc w:val="left"/>
      <w:pPr>
        <w:ind w:left="6242" w:hanging="231"/>
      </w:pPr>
      <w:rPr>
        <w:rFonts w:hint="default"/>
        <w:lang w:val="pt-PT" w:eastAsia="en-US" w:bidi="ar-SA"/>
      </w:rPr>
    </w:lvl>
    <w:lvl w:ilvl="6" w:tplc="05DC185A">
      <w:numFmt w:val="bullet"/>
      <w:lvlText w:val="•"/>
      <w:lvlJc w:val="left"/>
      <w:pPr>
        <w:ind w:left="6923" w:hanging="231"/>
      </w:pPr>
      <w:rPr>
        <w:rFonts w:hint="default"/>
        <w:lang w:val="pt-PT" w:eastAsia="en-US" w:bidi="ar-SA"/>
      </w:rPr>
    </w:lvl>
    <w:lvl w:ilvl="7" w:tplc="A3C06516">
      <w:numFmt w:val="bullet"/>
      <w:lvlText w:val="•"/>
      <w:lvlJc w:val="left"/>
      <w:pPr>
        <w:ind w:left="7604" w:hanging="231"/>
      </w:pPr>
      <w:rPr>
        <w:rFonts w:hint="default"/>
        <w:lang w:val="pt-PT" w:eastAsia="en-US" w:bidi="ar-SA"/>
      </w:rPr>
    </w:lvl>
    <w:lvl w:ilvl="8" w:tplc="68285F32">
      <w:numFmt w:val="bullet"/>
      <w:lvlText w:val="•"/>
      <w:lvlJc w:val="left"/>
      <w:pPr>
        <w:ind w:left="828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48DF4806"/>
    <w:multiLevelType w:val="hybridMultilevel"/>
    <w:tmpl w:val="DFDC7976"/>
    <w:lvl w:ilvl="0" w:tplc="899A66A2">
      <w:start w:val="1"/>
      <w:numFmt w:val="upp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4C7663"/>
    <w:multiLevelType w:val="multilevel"/>
    <w:tmpl w:val="275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45F8B"/>
    <w:multiLevelType w:val="hybridMultilevel"/>
    <w:tmpl w:val="1638E908"/>
    <w:lvl w:ilvl="0" w:tplc="86F4D4AA">
      <w:start w:val="1"/>
      <w:numFmt w:val="upperRoman"/>
      <w:lvlText w:val="%1."/>
      <w:lvlJc w:val="left"/>
      <w:pPr>
        <w:ind w:left="1713" w:hanging="720"/>
      </w:pPr>
      <w:rPr>
        <w:b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373A7"/>
    <w:multiLevelType w:val="hybridMultilevel"/>
    <w:tmpl w:val="4F888F8C"/>
    <w:lvl w:ilvl="0" w:tplc="5B2AC05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8636836"/>
    <w:multiLevelType w:val="hybridMultilevel"/>
    <w:tmpl w:val="B7361E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0FE9"/>
    <w:multiLevelType w:val="hybridMultilevel"/>
    <w:tmpl w:val="44B8AF4A"/>
    <w:lvl w:ilvl="0" w:tplc="5DBC8900">
      <w:start w:val="1"/>
      <w:numFmt w:val="decimal"/>
      <w:lvlText w:val="%1."/>
      <w:lvlJc w:val="left"/>
      <w:pPr>
        <w:ind w:left="1801" w:hanging="1217"/>
      </w:pPr>
      <w:rPr>
        <w:rFonts w:ascii="Trebuchet MS" w:eastAsia="Trebuchet MS" w:hAnsi="Trebuchet MS" w:cs="Trebuchet MS" w:hint="default"/>
        <w:spacing w:val="-1"/>
        <w:w w:val="95"/>
        <w:sz w:val="20"/>
        <w:szCs w:val="20"/>
        <w:lang w:val="pt-PT" w:eastAsia="en-US" w:bidi="ar-SA"/>
      </w:rPr>
    </w:lvl>
    <w:lvl w:ilvl="1" w:tplc="5BE25F7C">
      <w:numFmt w:val="bullet"/>
      <w:lvlText w:val="•"/>
      <w:lvlJc w:val="left"/>
      <w:pPr>
        <w:ind w:left="1800" w:hanging="1217"/>
      </w:pPr>
      <w:rPr>
        <w:rFonts w:hint="default"/>
        <w:lang w:val="pt-PT" w:eastAsia="en-US" w:bidi="ar-SA"/>
      </w:rPr>
    </w:lvl>
    <w:lvl w:ilvl="2" w:tplc="87D2F5A6">
      <w:numFmt w:val="bullet"/>
      <w:lvlText w:val="•"/>
      <w:lvlJc w:val="left"/>
      <w:pPr>
        <w:ind w:left="2698" w:hanging="1217"/>
      </w:pPr>
      <w:rPr>
        <w:rFonts w:hint="default"/>
        <w:lang w:val="pt-PT" w:eastAsia="en-US" w:bidi="ar-SA"/>
      </w:rPr>
    </w:lvl>
    <w:lvl w:ilvl="3" w:tplc="A42A5626">
      <w:numFmt w:val="bullet"/>
      <w:lvlText w:val="•"/>
      <w:lvlJc w:val="left"/>
      <w:pPr>
        <w:ind w:left="3597" w:hanging="1217"/>
      </w:pPr>
      <w:rPr>
        <w:rFonts w:hint="default"/>
        <w:lang w:val="pt-PT" w:eastAsia="en-US" w:bidi="ar-SA"/>
      </w:rPr>
    </w:lvl>
    <w:lvl w:ilvl="4" w:tplc="4E0ECDE2">
      <w:numFmt w:val="bullet"/>
      <w:lvlText w:val="•"/>
      <w:lvlJc w:val="left"/>
      <w:pPr>
        <w:ind w:left="4496" w:hanging="1217"/>
      </w:pPr>
      <w:rPr>
        <w:rFonts w:hint="default"/>
        <w:lang w:val="pt-PT" w:eastAsia="en-US" w:bidi="ar-SA"/>
      </w:rPr>
    </w:lvl>
    <w:lvl w:ilvl="5" w:tplc="D4BA9022">
      <w:numFmt w:val="bullet"/>
      <w:lvlText w:val="•"/>
      <w:lvlJc w:val="left"/>
      <w:pPr>
        <w:ind w:left="5394" w:hanging="1217"/>
      </w:pPr>
      <w:rPr>
        <w:rFonts w:hint="default"/>
        <w:lang w:val="pt-PT" w:eastAsia="en-US" w:bidi="ar-SA"/>
      </w:rPr>
    </w:lvl>
    <w:lvl w:ilvl="6" w:tplc="04F0A462">
      <w:numFmt w:val="bullet"/>
      <w:lvlText w:val="•"/>
      <w:lvlJc w:val="left"/>
      <w:pPr>
        <w:ind w:left="6293" w:hanging="1217"/>
      </w:pPr>
      <w:rPr>
        <w:rFonts w:hint="default"/>
        <w:lang w:val="pt-PT" w:eastAsia="en-US" w:bidi="ar-SA"/>
      </w:rPr>
    </w:lvl>
    <w:lvl w:ilvl="7" w:tplc="F1804BA6">
      <w:numFmt w:val="bullet"/>
      <w:lvlText w:val="•"/>
      <w:lvlJc w:val="left"/>
      <w:pPr>
        <w:ind w:left="7192" w:hanging="1217"/>
      </w:pPr>
      <w:rPr>
        <w:rFonts w:hint="default"/>
        <w:lang w:val="pt-PT" w:eastAsia="en-US" w:bidi="ar-SA"/>
      </w:rPr>
    </w:lvl>
    <w:lvl w:ilvl="8" w:tplc="867E042E">
      <w:numFmt w:val="bullet"/>
      <w:lvlText w:val="•"/>
      <w:lvlJc w:val="left"/>
      <w:pPr>
        <w:ind w:left="8090" w:hanging="1217"/>
      </w:pPr>
      <w:rPr>
        <w:rFonts w:hint="default"/>
        <w:lang w:val="pt-PT" w:eastAsia="en-US" w:bidi="ar-SA"/>
      </w:rPr>
    </w:lvl>
  </w:abstractNum>
  <w:abstractNum w:abstractNumId="11" w15:restartNumberingAfterBreak="0">
    <w:nsid w:val="6CA8302C"/>
    <w:multiLevelType w:val="hybridMultilevel"/>
    <w:tmpl w:val="FD9040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37D89"/>
    <w:multiLevelType w:val="multilevel"/>
    <w:tmpl w:val="FC22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EE"/>
    <w:rsid w:val="000614EA"/>
    <w:rsid w:val="00074334"/>
    <w:rsid w:val="000D1A03"/>
    <w:rsid w:val="000F2C21"/>
    <w:rsid w:val="00136F1B"/>
    <w:rsid w:val="00171239"/>
    <w:rsid w:val="001735E3"/>
    <w:rsid w:val="0018052E"/>
    <w:rsid w:val="001934BC"/>
    <w:rsid w:val="001A1073"/>
    <w:rsid w:val="00213C86"/>
    <w:rsid w:val="002315A0"/>
    <w:rsid w:val="00233706"/>
    <w:rsid w:val="00255632"/>
    <w:rsid w:val="00267C11"/>
    <w:rsid w:val="00267E2C"/>
    <w:rsid w:val="002A625C"/>
    <w:rsid w:val="002F570A"/>
    <w:rsid w:val="00326318"/>
    <w:rsid w:val="0037677B"/>
    <w:rsid w:val="003B0DDE"/>
    <w:rsid w:val="003D0275"/>
    <w:rsid w:val="003D3FD5"/>
    <w:rsid w:val="004200D3"/>
    <w:rsid w:val="00427CAF"/>
    <w:rsid w:val="0043706D"/>
    <w:rsid w:val="0045676A"/>
    <w:rsid w:val="00464045"/>
    <w:rsid w:val="004663D5"/>
    <w:rsid w:val="004C5490"/>
    <w:rsid w:val="004F0F2D"/>
    <w:rsid w:val="004F5946"/>
    <w:rsid w:val="0053179F"/>
    <w:rsid w:val="005454DD"/>
    <w:rsid w:val="005506EE"/>
    <w:rsid w:val="0055227D"/>
    <w:rsid w:val="00553EF4"/>
    <w:rsid w:val="005557A1"/>
    <w:rsid w:val="005A56D2"/>
    <w:rsid w:val="005A6AE4"/>
    <w:rsid w:val="005D7E76"/>
    <w:rsid w:val="005E4BE0"/>
    <w:rsid w:val="00611497"/>
    <w:rsid w:val="007024AE"/>
    <w:rsid w:val="007063BC"/>
    <w:rsid w:val="00714E95"/>
    <w:rsid w:val="007A0E42"/>
    <w:rsid w:val="007B179A"/>
    <w:rsid w:val="007C768C"/>
    <w:rsid w:val="007F4FA6"/>
    <w:rsid w:val="007F6732"/>
    <w:rsid w:val="008122CE"/>
    <w:rsid w:val="00812D3C"/>
    <w:rsid w:val="008237B5"/>
    <w:rsid w:val="008327E1"/>
    <w:rsid w:val="00853786"/>
    <w:rsid w:val="00876164"/>
    <w:rsid w:val="00883F25"/>
    <w:rsid w:val="00886C23"/>
    <w:rsid w:val="00893451"/>
    <w:rsid w:val="008A1BEC"/>
    <w:rsid w:val="008A5471"/>
    <w:rsid w:val="008B5366"/>
    <w:rsid w:val="00902B9C"/>
    <w:rsid w:val="0090507B"/>
    <w:rsid w:val="00905370"/>
    <w:rsid w:val="00940F30"/>
    <w:rsid w:val="00965AB4"/>
    <w:rsid w:val="00971A92"/>
    <w:rsid w:val="00990AD7"/>
    <w:rsid w:val="009A2F5D"/>
    <w:rsid w:val="009A71A3"/>
    <w:rsid w:val="00A13111"/>
    <w:rsid w:val="00A46A40"/>
    <w:rsid w:val="00A5134E"/>
    <w:rsid w:val="00A64439"/>
    <w:rsid w:val="00A64CF7"/>
    <w:rsid w:val="00A65DD4"/>
    <w:rsid w:val="00A72753"/>
    <w:rsid w:val="00AE2211"/>
    <w:rsid w:val="00AF1AF6"/>
    <w:rsid w:val="00B37796"/>
    <w:rsid w:val="00B47734"/>
    <w:rsid w:val="00B5170B"/>
    <w:rsid w:val="00B54F9A"/>
    <w:rsid w:val="00B81329"/>
    <w:rsid w:val="00C55629"/>
    <w:rsid w:val="00CA53D4"/>
    <w:rsid w:val="00CB35B9"/>
    <w:rsid w:val="00CC1526"/>
    <w:rsid w:val="00CD3C31"/>
    <w:rsid w:val="00D765B5"/>
    <w:rsid w:val="00D82C0D"/>
    <w:rsid w:val="00D87240"/>
    <w:rsid w:val="00D95EFA"/>
    <w:rsid w:val="00DB7C9A"/>
    <w:rsid w:val="00DC19F8"/>
    <w:rsid w:val="00E1507E"/>
    <w:rsid w:val="00E527D8"/>
    <w:rsid w:val="00E765D3"/>
    <w:rsid w:val="00EA3AD4"/>
    <w:rsid w:val="00EA65BD"/>
    <w:rsid w:val="00ED3D97"/>
    <w:rsid w:val="00EE1C9E"/>
    <w:rsid w:val="00EF08E0"/>
    <w:rsid w:val="00F05C17"/>
    <w:rsid w:val="00F2334B"/>
    <w:rsid w:val="00F3663C"/>
    <w:rsid w:val="00F83EFF"/>
    <w:rsid w:val="00FB0DA5"/>
    <w:rsid w:val="00FB381D"/>
    <w:rsid w:val="00FD48FB"/>
    <w:rsid w:val="00FE104B"/>
    <w:rsid w:val="00FE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3BF1D41"/>
  <w15:docId w15:val="{43A93120-0C0D-4244-A57E-9ABF4E48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06EE"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0614EA"/>
    <w:pPr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4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06E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506EE"/>
    <w:pPr>
      <w:spacing w:before="10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506EE"/>
    <w:pPr>
      <w:ind w:left="1684" w:hanging="1215"/>
    </w:pPr>
  </w:style>
  <w:style w:type="paragraph" w:customStyle="1" w:styleId="TableParagraph">
    <w:name w:val="Table Paragraph"/>
    <w:basedOn w:val="Normal"/>
    <w:uiPriority w:val="1"/>
    <w:qFormat/>
    <w:rsid w:val="005506EE"/>
  </w:style>
  <w:style w:type="character" w:customStyle="1" w:styleId="CorpodetextoChar">
    <w:name w:val="Corpo de texto Char"/>
    <w:basedOn w:val="Fontepargpadro"/>
    <w:link w:val="Corpodetexto"/>
    <w:uiPriority w:val="1"/>
    <w:rsid w:val="0053179F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0614EA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E15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507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5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07E"/>
    <w:rPr>
      <w:rFonts w:ascii="Trebuchet MS" w:eastAsia="Trebuchet MS" w:hAnsi="Trebuchet MS" w:cs="Trebuchet MS"/>
      <w:lang w:val="pt-PT"/>
    </w:rPr>
  </w:style>
  <w:style w:type="paragraph" w:customStyle="1" w:styleId="Standard">
    <w:name w:val="Standard"/>
    <w:rsid w:val="00E1507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Default">
    <w:name w:val="Default"/>
    <w:rsid w:val="00136F1B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CAF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27C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53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grafodaLista1">
    <w:name w:val="Parágrafo da Lista1"/>
    <w:basedOn w:val="Normal"/>
    <w:rsid w:val="008A1BEC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Calibri" w:eastAsia="Calibri" w:hAnsi="Calibri" w:cs="font280"/>
      <w:lang w:val="pt-BR"/>
    </w:rPr>
  </w:style>
  <w:style w:type="paragraph" w:styleId="SemEspaamento">
    <w:name w:val="No Spacing"/>
    <w:uiPriority w:val="1"/>
    <w:qFormat/>
    <w:rsid w:val="004F594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7F4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5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CB35B9"/>
    <w:rPr>
      <w:b/>
      <w:bCs/>
    </w:rPr>
  </w:style>
  <w:style w:type="paragraph" w:customStyle="1" w:styleId="dou-paragraph">
    <w:name w:val="dou-paragraph"/>
    <w:basedOn w:val="Normal"/>
    <w:rsid w:val="007B17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FE67E2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24A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37F3-4EA1-4A5C-A6D7-E605DACF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1449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Bernardo</cp:lastModifiedBy>
  <cp:revision>3</cp:revision>
  <cp:lastPrinted>2025-02-18T12:37:00Z</cp:lastPrinted>
  <dcterms:created xsi:type="dcterms:W3CDTF">2025-08-20T18:29:00Z</dcterms:created>
  <dcterms:modified xsi:type="dcterms:W3CDTF">2025-08-20T18:42:00Z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</Properties>
</file>